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4098C" w14:textId="77777777" w:rsidR="00814FEC" w:rsidRPr="005A16A2" w:rsidRDefault="00814FEC" w:rsidP="00E87347">
      <w:pPr>
        <w:pStyle w:val="Heading3"/>
      </w:pPr>
      <w:r w:rsidRPr="005A16A2">
        <w:rPr>
          <w:rtl/>
        </w:rPr>
        <w:t xml:space="preserve">نبذة عن مشروع </w:t>
      </w:r>
      <w:proofErr w:type="spellStart"/>
      <w:r w:rsidRPr="005A16A2">
        <w:rPr>
          <w:rtl/>
        </w:rPr>
        <w:t>اسفير</w:t>
      </w:r>
      <w:proofErr w:type="spellEnd"/>
    </w:p>
    <w:p w14:paraId="0C6F1954" w14:textId="77777777" w:rsidR="00814FEC" w:rsidRPr="005A16A2" w:rsidRDefault="00814FEC" w:rsidP="005A16A2">
      <w:pPr>
        <w:rPr>
          <w:rtl/>
        </w:rPr>
      </w:pPr>
      <w:r w:rsidRPr="005A16A2">
        <w:rPr>
          <w:rtl/>
        </w:rPr>
        <w:t xml:space="preserve">مشروع </w:t>
      </w:r>
      <w:proofErr w:type="spellStart"/>
      <w:r w:rsidRPr="005A16A2">
        <w:rPr>
          <w:rtl/>
        </w:rPr>
        <w:t>اسفير</w:t>
      </w:r>
      <w:proofErr w:type="spellEnd"/>
      <w:r w:rsidRPr="005A16A2">
        <w:rPr>
          <w:rtl/>
        </w:rPr>
        <w:t xml:space="preserve"> هو مبادرة طوعية تشمل قطاعاً واسعاً من الأطراف الفاعلة في مجال العمل الإنساني. </w:t>
      </w:r>
      <w:proofErr w:type="gramStart"/>
      <w:r w:rsidRPr="005A16A2">
        <w:rPr>
          <w:rtl/>
        </w:rPr>
        <w:t>يهدف</w:t>
      </w:r>
      <w:proofErr w:type="gramEnd"/>
      <w:r w:rsidRPr="005A16A2">
        <w:rPr>
          <w:rtl/>
        </w:rPr>
        <w:t xml:space="preserve"> المشروع إلى المساعدة في تحسين جودة المساعدة المقدمة إلى الناس المتضررين من الكوارث أو النزاعات وكذلك مساءلة الوكالات الإنسانية والحكومات أمام الناخبين والجهات المانحة والسكان المتضررين.</w:t>
      </w:r>
    </w:p>
    <w:p w14:paraId="1D2B5A59" w14:textId="77777777" w:rsidR="00814FEC" w:rsidRPr="005A16A2" w:rsidRDefault="00814FEC" w:rsidP="005A16A2">
      <w:r w:rsidRPr="005A16A2">
        <w:rPr>
          <w:rtl/>
        </w:rPr>
        <w:t xml:space="preserve">يقوم مشروع </w:t>
      </w:r>
      <w:proofErr w:type="spellStart"/>
      <w:r w:rsidRPr="005A16A2">
        <w:rPr>
          <w:rtl/>
        </w:rPr>
        <w:t>اسفير</w:t>
      </w:r>
      <w:proofErr w:type="spellEnd"/>
      <w:r w:rsidRPr="005A16A2">
        <w:rPr>
          <w:rtl/>
        </w:rPr>
        <w:t xml:space="preserve"> بتحديد معايير استجابة المجتمع الإنساني العالمي وتعزيزها ولاسيما تلك التي تستجيب إلى محن الأشخاص المتضررين من الكوارث أو النزاعات. ولقد تم توضيح هذه المعايير التي تغطي القطاعات الإنسانية المُنفذة للحياة والمبادئ المشتركة التي تستند إليها هذه المعايير في دليل </w:t>
      </w:r>
      <w:proofErr w:type="spellStart"/>
      <w:r w:rsidRPr="005A16A2">
        <w:rPr>
          <w:rtl/>
        </w:rPr>
        <w:t>اسفير</w:t>
      </w:r>
      <w:proofErr w:type="spellEnd"/>
      <w:r w:rsidRPr="005A16A2">
        <w:rPr>
          <w:rtl/>
        </w:rPr>
        <w:t>: الميثاق الإنساني والمعايير الدنيا في مجال الاستجابة الإنسانية.</w:t>
      </w:r>
    </w:p>
    <w:p w14:paraId="2335CFF7" w14:textId="77777777" w:rsidR="00814FEC" w:rsidRPr="005A16A2" w:rsidRDefault="00814FEC" w:rsidP="00E87347">
      <w:pPr>
        <w:pStyle w:val="Heading3"/>
      </w:pPr>
      <w:r w:rsidRPr="005A16A2">
        <w:rPr>
          <w:rtl/>
        </w:rPr>
        <w:t xml:space="preserve">دليل </w:t>
      </w:r>
      <w:proofErr w:type="spellStart"/>
      <w:r w:rsidRPr="005A16A2">
        <w:rPr>
          <w:rtl/>
        </w:rPr>
        <w:t>اسفير</w:t>
      </w:r>
      <w:proofErr w:type="spellEnd"/>
    </w:p>
    <w:p w14:paraId="62780315" w14:textId="60D6D4D1" w:rsidR="00814FEC" w:rsidRPr="005A16A2" w:rsidRDefault="00D4042F" w:rsidP="005A16A2">
      <w:pPr>
        <w:rPr>
          <w:rtl/>
        </w:rPr>
      </w:pPr>
      <w:r w:rsidRPr="005A16A2">
        <w:rPr>
          <w:rtl/>
        </w:rPr>
        <w:t>ي</w:t>
      </w:r>
      <w:r w:rsidR="00814FEC" w:rsidRPr="005A16A2">
        <w:rPr>
          <w:rtl/>
        </w:rPr>
        <w:t xml:space="preserve">حتوي دليل </w:t>
      </w:r>
      <w:proofErr w:type="spellStart"/>
      <w:r w:rsidR="00814FEC" w:rsidRPr="005A16A2">
        <w:rPr>
          <w:rtl/>
        </w:rPr>
        <w:t>اسفير</w:t>
      </w:r>
      <w:proofErr w:type="spellEnd"/>
      <w:r w:rsidR="00814FEC" w:rsidRPr="005A16A2">
        <w:rPr>
          <w:rtl/>
        </w:rPr>
        <w:t xml:space="preserve"> على أشهر مجموعة من المبادئ المشتركة والمعايير الدنيا العامة في مجال الاستجابة الإنسانية التي تحظى باعتراف دولي واسع النطاق والتي تمكن الأطراف الإنسانية الفاعلة من ضمان الجودة والمساءلة في ممارسة عملها.</w:t>
      </w:r>
    </w:p>
    <w:p w14:paraId="311B19FE" w14:textId="15C70D76" w:rsidR="00814FEC" w:rsidRPr="005A16A2" w:rsidRDefault="00814FEC" w:rsidP="005A16A2">
      <w:pPr>
        <w:rPr>
          <w:rtl/>
        </w:rPr>
      </w:pPr>
      <w:r w:rsidRPr="005A16A2">
        <w:rPr>
          <w:rtl/>
        </w:rPr>
        <w:t xml:space="preserve">وتم تطوير الدليل عبر عملية تشاورية موسعة وعبر توافق الآراء داخل القطاع الإنساني. </w:t>
      </w:r>
      <w:proofErr w:type="gramStart"/>
      <w:r w:rsidRPr="005A16A2">
        <w:rPr>
          <w:rtl/>
        </w:rPr>
        <w:t>ونظراً</w:t>
      </w:r>
      <w:proofErr w:type="gramEnd"/>
      <w:r w:rsidRPr="005A16A2">
        <w:rPr>
          <w:rtl/>
        </w:rPr>
        <w:t xml:space="preserve"> لأنه يعكس جهدا جماعيا واسعا من طرف الجهات الإنسانية الفاعلة، فإنه لا يخضع لملكية منظمة واحدة بل يوفر وسيلة تفاهم مشترك بين الوكالات. </w:t>
      </w:r>
    </w:p>
    <w:p w14:paraId="77C0E52F" w14:textId="49908BDF" w:rsidR="00814FEC" w:rsidRPr="005A16A2" w:rsidRDefault="00814FEC" w:rsidP="00FB4BFD">
      <w:pPr>
        <w:rPr>
          <w:rtl/>
        </w:rPr>
      </w:pPr>
      <w:r w:rsidRPr="005A16A2">
        <w:rPr>
          <w:rtl/>
        </w:rPr>
        <w:t>يضم الدليل معايير دنيا عامة قائمة على الدليل في أربع قطاعات مُنقذة للحياة هي: الإمداد بالماء والإصحاح والنهوض بالنظافة، والأمن الغذائي والتغذية، والمأوى والمستوطنات البشرية واللوازم غير الغذائية، والع</w:t>
      </w:r>
      <w:r w:rsidR="00FB4BFD">
        <w:rPr>
          <w:rtl/>
        </w:rPr>
        <w:t xml:space="preserve">مل الصحي. </w:t>
      </w:r>
      <w:proofErr w:type="gramStart"/>
      <w:r w:rsidR="00FB4BFD">
        <w:rPr>
          <w:rtl/>
        </w:rPr>
        <w:t>يستند</w:t>
      </w:r>
      <w:proofErr w:type="gramEnd"/>
      <w:r w:rsidR="00FB4BFD">
        <w:rPr>
          <w:rtl/>
        </w:rPr>
        <w:t xml:space="preserve"> الدليل إلى مباد</w:t>
      </w:r>
      <w:r w:rsidR="00FB4BFD">
        <w:rPr>
          <w:rFonts w:hint="cs"/>
          <w:rtl/>
        </w:rPr>
        <w:t>ئ</w:t>
      </w:r>
      <w:r w:rsidRPr="005A16A2">
        <w:rPr>
          <w:rtl/>
        </w:rPr>
        <w:t xml:space="preserve"> أخلاقية وقانونية على النحو الموضح في الميثاق الإنساني، ويحدد مباد</w:t>
      </w:r>
      <w:r w:rsidR="00FB4BFD">
        <w:rPr>
          <w:rFonts w:hint="cs"/>
          <w:rtl/>
        </w:rPr>
        <w:t>ئ</w:t>
      </w:r>
      <w:r w:rsidRPr="005A16A2">
        <w:rPr>
          <w:rtl/>
        </w:rPr>
        <w:t xml:space="preserve"> حماية ومعايير أساسية تهدف إلى إثراء وتعزيز أي استجابة إنسانية في مناخ تسوده الجودة والمساءلة تجاه الشرائح السكانية المتضررة.</w:t>
      </w:r>
    </w:p>
    <w:p w14:paraId="3E2539F4" w14:textId="6724D3B3" w:rsidR="00814FEC" w:rsidRPr="005A16A2" w:rsidRDefault="00814FEC" w:rsidP="00E87347">
      <w:pPr>
        <w:pStyle w:val="Heading3"/>
      </w:pPr>
      <w:r w:rsidRPr="005A16A2">
        <w:rPr>
          <w:rtl/>
        </w:rPr>
        <w:t xml:space="preserve">الهوية </w:t>
      </w:r>
      <w:proofErr w:type="gramStart"/>
      <w:r w:rsidRPr="005A16A2">
        <w:rPr>
          <w:rtl/>
        </w:rPr>
        <w:t>وأسلوب</w:t>
      </w:r>
      <w:proofErr w:type="gramEnd"/>
      <w:r w:rsidRPr="005A16A2">
        <w:rPr>
          <w:rtl/>
        </w:rPr>
        <w:t xml:space="preserve"> الإدارة</w:t>
      </w:r>
    </w:p>
    <w:p w14:paraId="352D257A" w14:textId="1AE24BEA" w:rsidR="00814FEC" w:rsidRPr="005A16A2" w:rsidRDefault="00814FEC" w:rsidP="005A16A2">
      <w:pPr>
        <w:rPr>
          <w:rtl/>
        </w:rPr>
      </w:pPr>
      <w:r w:rsidRPr="005A16A2">
        <w:rPr>
          <w:rtl/>
        </w:rPr>
        <w:t xml:space="preserve">بدأ المشروع  في عام 1997 بمبادرة من مجموعة من المنظمات الإنسانية غير الحكومية والحركة الدولية للصليب الأحمر والهلال الأحمر، وأضحى الآن يضم عددا كبيرا من الجهات الفاعلة في مختلف أنحاء العالم، بما في ذلك وكالات الأمم المتحدة والجهات المانحة والحكومات المتضررة والمؤسسات الأكاديمية. </w:t>
      </w:r>
    </w:p>
    <w:p w14:paraId="20037903" w14:textId="13541C1D" w:rsidR="00814FEC" w:rsidRPr="005A16A2" w:rsidRDefault="00814FEC" w:rsidP="005A16A2">
      <w:pPr>
        <w:rPr>
          <w:rtl/>
        </w:rPr>
      </w:pPr>
      <w:r w:rsidRPr="005A16A2">
        <w:rPr>
          <w:rtl/>
        </w:rPr>
        <w:t>يمكن للمنظمات الراغبة في أ</w:t>
      </w:r>
      <w:proofErr w:type="gramStart"/>
      <w:r w:rsidRPr="005A16A2">
        <w:rPr>
          <w:rtl/>
        </w:rPr>
        <w:t>ن تك</w:t>
      </w:r>
      <w:proofErr w:type="gramEnd"/>
      <w:r w:rsidRPr="005A16A2">
        <w:rPr>
          <w:rtl/>
        </w:rPr>
        <w:t xml:space="preserve">ون سياساتها واستراتيجياتها التنفيذية متوافقة مع مبادئ ومعايير </w:t>
      </w:r>
      <w:proofErr w:type="spellStart"/>
      <w:r w:rsidRPr="005A16A2">
        <w:rPr>
          <w:rtl/>
        </w:rPr>
        <w:t>اسفير</w:t>
      </w:r>
      <w:proofErr w:type="spellEnd"/>
      <w:r w:rsidRPr="005A16A2">
        <w:rPr>
          <w:rtl/>
        </w:rPr>
        <w:t xml:space="preserve"> أن تقوم بذلك بشكل طوعي لأنه لا توجد آليه للاشتراك والتسجيل في مشرع </w:t>
      </w:r>
      <w:proofErr w:type="spellStart"/>
      <w:r w:rsidRPr="005A16A2">
        <w:rPr>
          <w:rtl/>
        </w:rPr>
        <w:t>اسفير</w:t>
      </w:r>
      <w:proofErr w:type="spellEnd"/>
      <w:r w:rsidRPr="005A16A2">
        <w:rPr>
          <w:rtl/>
        </w:rPr>
        <w:t xml:space="preserve">. </w:t>
      </w:r>
      <w:proofErr w:type="gramStart"/>
      <w:r w:rsidRPr="005A16A2">
        <w:rPr>
          <w:rtl/>
        </w:rPr>
        <w:t>وقد</w:t>
      </w:r>
      <w:proofErr w:type="gramEnd"/>
      <w:r w:rsidRPr="005A16A2">
        <w:rPr>
          <w:rtl/>
        </w:rPr>
        <w:t xml:space="preserve"> حرص المشروع، منذ نشأته،</w:t>
      </w:r>
      <w:r w:rsidR="00181EF3">
        <w:rPr>
          <w:rFonts w:hint="cs"/>
          <w:rtl/>
        </w:rPr>
        <w:t xml:space="preserve"> </w:t>
      </w:r>
      <w:r w:rsidRPr="005A16A2">
        <w:rPr>
          <w:rtl/>
        </w:rPr>
        <w:t xml:space="preserve">على أن يكون شاملاً وشفافا وممثلاً لأكبر عدد ممكن من الأطراف المعنية على الصعيد العالمي. </w:t>
      </w:r>
    </w:p>
    <w:p w14:paraId="40462AB4" w14:textId="56AECB2B" w:rsidR="00814FEC" w:rsidRPr="005A16A2" w:rsidRDefault="00814FEC" w:rsidP="005A16A2">
      <w:pPr>
        <w:rPr>
          <w:rtl/>
        </w:rPr>
      </w:pPr>
      <w:r w:rsidRPr="005A16A2">
        <w:rPr>
          <w:rtl/>
        </w:rPr>
        <w:t xml:space="preserve">يتولى الإشراف على مشروع </w:t>
      </w:r>
      <w:proofErr w:type="spellStart"/>
      <w:r w:rsidRPr="005A16A2">
        <w:rPr>
          <w:rtl/>
        </w:rPr>
        <w:t>اسفير</w:t>
      </w:r>
      <w:proofErr w:type="spellEnd"/>
      <w:r w:rsidRPr="005A16A2">
        <w:rPr>
          <w:rtl/>
        </w:rPr>
        <w:t xml:space="preserve"> مجلس إدارة  يمثل شبكات من المنظمات غير الحكومية على مستوى العالم. يوجد فريق صغير في مقر المشروع في جنيف يقوم بتقديم استراتيجية </w:t>
      </w:r>
      <w:proofErr w:type="spellStart"/>
      <w:r w:rsidRPr="005A16A2">
        <w:rPr>
          <w:rtl/>
        </w:rPr>
        <w:t>اسفير</w:t>
      </w:r>
      <w:proofErr w:type="spellEnd"/>
      <w:r w:rsidRPr="005A16A2">
        <w:rPr>
          <w:rtl/>
        </w:rPr>
        <w:t xml:space="preserve">، التي يتم تطويرها بواسطة مجلس الإدارة، وإصدار دليل </w:t>
      </w:r>
      <w:proofErr w:type="spellStart"/>
      <w:r w:rsidRPr="005A16A2">
        <w:rPr>
          <w:rtl/>
        </w:rPr>
        <w:t>اسفير</w:t>
      </w:r>
      <w:proofErr w:type="spellEnd"/>
      <w:r w:rsidRPr="005A16A2">
        <w:rPr>
          <w:rtl/>
        </w:rPr>
        <w:t xml:space="preserve"> إضافة إلى غيرها من الخدمات. و</w:t>
      </w:r>
      <w:bookmarkStart w:id="0" w:name="_GoBack"/>
      <w:bookmarkEnd w:id="0"/>
      <w:r w:rsidRPr="005A16A2">
        <w:rPr>
          <w:rtl/>
        </w:rPr>
        <w:t>يأتي التمويل اللازم لدعم عمل فريق المشروع من المنظمات الأعضاء في مجلس الإدارة ومن الجهات المانحة.</w:t>
      </w:r>
    </w:p>
    <w:p w14:paraId="5EE10139" w14:textId="530BCC3C" w:rsidR="00814FEC" w:rsidRPr="005A16A2" w:rsidRDefault="00814FEC" w:rsidP="00E87347">
      <w:pPr>
        <w:pStyle w:val="Heading3"/>
      </w:pPr>
      <w:r w:rsidRPr="005A16A2">
        <w:rPr>
          <w:rtl/>
        </w:rPr>
        <w:t xml:space="preserve">المبادئ التوجيهية </w:t>
      </w:r>
      <w:proofErr w:type="gramStart"/>
      <w:r w:rsidRPr="005A16A2">
        <w:rPr>
          <w:rtl/>
        </w:rPr>
        <w:t>والقيم</w:t>
      </w:r>
      <w:proofErr w:type="gramEnd"/>
    </w:p>
    <w:p w14:paraId="78F8CCA2" w14:textId="1B90BFD9" w:rsidR="00814FEC" w:rsidRPr="005A16A2" w:rsidRDefault="00814FEC" w:rsidP="005A16A2">
      <w:pPr>
        <w:rPr>
          <w:rtl/>
        </w:rPr>
      </w:pPr>
      <w:r w:rsidRPr="005A16A2">
        <w:rPr>
          <w:rtl/>
        </w:rPr>
        <w:t xml:space="preserve">يهدف مشروع </w:t>
      </w:r>
      <w:proofErr w:type="spellStart"/>
      <w:r w:rsidRPr="005A16A2">
        <w:rPr>
          <w:rtl/>
        </w:rPr>
        <w:t>اسفير</w:t>
      </w:r>
      <w:proofErr w:type="spellEnd"/>
      <w:r w:rsidRPr="005A16A2">
        <w:rPr>
          <w:rtl/>
        </w:rPr>
        <w:t xml:space="preserve"> إلى تعزيز ودعم الاستجابة الإنسانية بنهج قائم على الحقوق والمشاركة. </w:t>
      </w:r>
      <w:proofErr w:type="gramStart"/>
      <w:r w:rsidRPr="005A16A2">
        <w:rPr>
          <w:rtl/>
        </w:rPr>
        <w:t>ومن</w:t>
      </w:r>
      <w:proofErr w:type="gramEnd"/>
      <w:r w:rsidRPr="005A16A2">
        <w:rPr>
          <w:rtl/>
        </w:rPr>
        <w:t xml:space="preserve"> ثم، يضع الميثاق الإنساني حقوق السكان المتضررين من الكوارث في الحياة بكرامة، والحصول على المساعدة الإنسانية والحماية والأمن، في قلب عملية الاستجابة الإنسانية.</w:t>
      </w:r>
    </w:p>
    <w:p w14:paraId="7BCF5663" w14:textId="2C3FCE10" w:rsidR="00814FEC" w:rsidRPr="005A16A2" w:rsidRDefault="00814FEC" w:rsidP="005A16A2">
      <w:pPr>
        <w:rPr>
          <w:rtl/>
        </w:rPr>
      </w:pPr>
      <w:r w:rsidRPr="005A16A2">
        <w:rPr>
          <w:rtl/>
        </w:rPr>
        <w:t xml:space="preserve">يشجع مشروع </w:t>
      </w:r>
      <w:proofErr w:type="spellStart"/>
      <w:r w:rsidRPr="005A16A2">
        <w:rPr>
          <w:rtl/>
        </w:rPr>
        <w:t>اسفير</w:t>
      </w:r>
      <w:proofErr w:type="spellEnd"/>
      <w:r w:rsidRPr="005A16A2">
        <w:rPr>
          <w:rtl/>
        </w:rPr>
        <w:t xml:space="preserve"> المشاركة النشطة للسكان المتضررين، وكذلك السلطات المحلية والوطنية في جميع مراحل الاستجابة. </w:t>
      </w:r>
      <w:proofErr w:type="gramStart"/>
      <w:r w:rsidRPr="005A16A2">
        <w:rPr>
          <w:rtl/>
        </w:rPr>
        <w:t>كما</w:t>
      </w:r>
      <w:proofErr w:type="gramEnd"/>
      <w:r w:rsidRPr="005A16A2">
        <w:rPr>
          <w:rtl/>
        </w:rPr>
        <w:t xml:space="preserve"> يشجع بقوة المنظمات الإنسانية الدولية على أن تعتمد في استجابتها على القدرات المحلية والوطنية.</w:t>
      </w:r>
    </w:p>
    <w:p w14:paraId="5C32179D" w14:textId="5FEE9E58" w:rsidR="00814FEC" w:rsidRPr="005A16A2" w:rsidRDefault="00814FEC" w:rsidP="00E87347">
      <w:pPr>
        <w:pStyle w:val="Heading3"/>
      </w:pPr>
      <w:proofErr w:type="gramStart"/>
      <w:r w:rsidRPr="005A16A2">
        <w:rPr>
          <w:rtl/>
        </w:rPr>
        <w:t>المعايير</w:t>
      </w:r>
      <w:proofErr w:type="gramEnd"/>
      <w:r w:rsidRPr="005A16A2">
        <w:rPr>
          <w:rtl/>
        </w:rPr>
        <w:t xml:space="preserve"> المرافقة والشركاء ومراكز التنسيق</w:t>
      </w:r>
    </w:p>
    <w:p w14:paraId="08C0C16C" w14:textId="5A26EC8C" w:rsidR="00814FEC" w:rsidRPr="005A16A2" w:rsidRDefault="00814FEC" w:rsidP="005A16A2">
      <w:pPr>
        <w:rPr>
          <w:rtl/>
        </w:rPr>
      </w:pPr>
      <w:r w:rsidRPr="005A16A2">
        <w:rPr>
          <w:rtl/>
        </w:rPr>
        <w:t xml:space="preserve">لقد طورت بعض القطاعات الإنسانية، التي لم يتم تغطيتها في دليل </w:t>
      </w:r>
      <w:proofErr w:type="spellStart"/>
      <w:r w:rsidRPr="005A16A2">
        <w:rPr>
          <w:rtl/>
        </w:rPr>
        <w:t>اسفير</w:t>
      </w:r>
      <w:proofErr w:type="spellEnd"/>
      <w:r w:rsidRPr="005A16A2">
        <w:rPr>
          <w:rtl/>
        </w:rPr>
        <w:t xml:space="preserve">، المعايير الخاصة بها من خلال عملية تشاورية تستند إلى الحقوق ومستوحاة من النهج الذي اتبعه مشروع </w:t>
      </w:r>
      <w:proofErr w:type="spellStart"/>
      <w:r w:rsidRPr="005A16A2">
        <w:rPr>
          <w:rtl/>
        </w:rPr>
        <w:t>اسفير</w:t>
      </w:r>
      <w:proofErr w:type="spellEnd"/>
      <w:r w:rsidRPr="005A16A2">
        <w:rPr>
          <w:rtl/>
        </w:rPr>
        <w:t>.</w:t>
      </w:r>
    </w:p>
    <w:p w14:paraId="65C9087A" w14:textId="39B233F0" w:rsidR="00814FEC" w:rsidRPr="005A16A2" w:rsidRDefault="00814FEC" w:rsidP="005A16A2">
      <w:pPr>
        <w:rPr>
          <w:rtl/>
        </w:rPr>
      </w:pPr>
      <w:r w:rsidRPr="005A16A2">
        <w:rPr>
          <w:rtl/>
        </w:rPr>
        <w:t xml:space="preserve">يعترف مشروع </w:t>
      </w:r>
      <w:proofErr w:type="spellStart"/>
      <w:r w:rsidRPr="005A16A2">
        <w:rPr>
          <w:rtl/>
        </w:rPr>
        <w:t>اسفير</w:t>
      </w:r>
      <w:proofErr w:type="spellEnd"/>
      <w:r w:rsidRPr="005A16A2">
        <w:rPr>
          <w:rtl/>
        </w:rPr>
        <w:t xml:space="preserve"> بالمعايير التالية كمعايير مرافقة لدليل </w:t>
      </w:r>
      <w:proofErr w:type="spellStart"/>
      <w:r w:rsidRPr="005A16A2">
        <w:rPr>
          <w:rtl/>
        </w:rPr>
        <w:t>اسفير</w:t>
      </w:r>
      <w:proofErr w:type="spellEnd"/>
      <w:r w:rsidRPr="005A16A2">
        <w:rPr>
          <w:rtl/>
        </w:rPr>
        <w:t xml:space="preserve">: المعايير الدنيا للتعليم: الجهوزية والاستجابة والتعافي </w:t>
      </w:r>
      <w:proofErr w:type="spellStart"/>
      <w:r w:rsidRPr="005A16A2">
        <w:rPr>
          <w:rtl/>
        </w:rPr>
        <w:t>الصاردة</w:t>
      </w:r>
      <w:proofErr w:type="spellEnd"/>
      <w:r w:rsidRPr="005A16A2">
        <w:rPr>
          <w:rtl/>
        </w:rPr>
        <w:t xml:space="preserve"> عن الشبكة المشتركة لوكالات التعليم في حالات الطوارئ (آيني)، والمعايير والإرشادات في الطوارئ الخاصة بالماشية الصادرة عن (مشروع </w:t>
      </w:r>
      <w:proofErr w:type="spellStart"/>
      <w:r w:rsidR="00D4042F" w:rsidRPr="005A16A2">
        <w:rPr>
          <w:rtl/>
        </w:rPr>
        <w:t>لاجز</w:t>
      </w:r>
      <w:proofErr w:type="spellEnd"/>
      <w:r w:rsidRPr="005A16A2">
        <w:rPr>
          <w:rtl/>
        </w:rPr>
        <w:t>)، والمعايير الدنيا للتعافي الاقتصادي بعد الأزمات الصادرة عن شبكة النهوض بالمشروعات الصغيرة وتعزيزها (سيب).</w:t>
      </w:r>
    </w:p>
    <w:p w14:paraId="1C012684" w14:textId="387EC8A0" w:rsidR="00814FEC" w:rsidRPr="005A16A2" w:rsidRDefault="00814FEC" w:rsidP="005A16A2">
      <w:pPr>
        <w:rPr>
          <w:rtl/>
        </w:rPr>
      </w:pPr>
      <w:r w:rsidRPr="005A16A2">
        <w:rPr>
          <w:rtl/>
        </w:rPr>
        <w:t xml:space="preserve">في العديد من الدول المتضررة من الكوارث والنزاعات، أقام المجتمع الإنساني مراكز اتصال </w:t>
      </w:r>
      <w:proofErr w:type="spellStart"/>
      <w:r w:rsidRPr="005A16A2">
        <w:rPr>
          <w:rtl/>
        </w:rPr>
        <w:t>لاسفير</w:t>
      </w:r>
      <w:proofErr w:type="spellEnd"/>
      <w:r w:rsidRPr="005A16A2">
        <w:rPr>
          <w:rtl/>
        </w:rPr>
        <w:t xml:space="preserve">(شركاء </w:t>
      </w:r>
      <w:proofErr w:type="spellStart"/>
      <w:r w:rsidRPr="005A16A2">
        <w:rPr>
          <w:rtl/>
        </w:rPr>
        <w:t>اسفير</w:t>
      </w:r>
      <w:proofErr w:type="spellEnd"/>
      <w:r w:rsidRPr="005A16A2">
        <w:rPr>
          <w:rtl/>
        </w:rPr>
        <w:t xml:space="preserve"> هم مراكز التنسيق الإقليمية) حيث يتم تشجيع العاملين في المجال الإنساني والحكومات الوطنية والمحلية على تبني واعتماد معايير </w:t>
      </w:r>
      <w:proofErr w:type="spellStart"/>
      <w:r w:rsidRPr="005A16A2">
        <w:rPr>
          <w:rtl/>
        </w:rPr>
        <w:t>اسفير</w:t>
      </w:r>
      <w:proofErr w:type="spellEnd"/>
      <w:r w:rsidRPr="005A16A2">
        <w:rPr>
          <w:rtl/>
        </w:rPr>
        <w:t xml:space="preserve"> في عملها.</w:t>
      </w:r>
    </w:p>
    <w:p w14:paraId="732F6334" w14:textId="53099B22" w:rsidR="00814FEC" w:rsidRPr="005A16A2" w:rsidRDefault="00814FEC" w:rsidP="005A16A2"/>
    <w:p w14:paraId="11A82B08" w14:textId="03B86F51" w:rsidR="00E62B63" w:rsidRPr="005A16A2" w:rsidRDefault="003841BB" w:rsidP="00E87347">
      <w:pPr>
        <w:jc w:val="center"/>
      </w:pPr>
      <w:r>
        <w:rPr>
          <w:noProof/>
          <w:lang w:eastAsia="fr-FR"/>
        </w:rPr>
        <w:lastRenderedPageBreak/>
        <w:drawing>
          <wp:inline distT="0" distB="0" distL="0" distR="0" wp14:anchorId="55932D0C" wp14:editId="0A340F29">
            <wp:extent cx="2238375" cy="129603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here Project Logo Standard No Tagline RGB_AR.jpg"/>
                    <pic:cNvPicPr/>
                  </pic:nvPicPr>
                  <pic:blipFill>
                    <a:blip r:embed="rId8">
                      <a:extLst>
                        <a:ext uri="{28A0092B-C50C-407E-A947-70E740481C1C}">
                          <a14:useLocalDpi xmlns:a14="http://schemas.microsoft.com/office/drawing/2010/main" val="0"/>
                        </a:ext>
                      </a:extLst>
                    </a:blip>
                    <a:stretch>
                      <a:fillRect/>
                    </a:stretch>
                  </pic:blipFill>
                  <pic:spPr>
                    <a:xfrm>
                      <a:off x="0" y="0"/>
                      <a:ext cx="2238375" cy="1296035"/>
                    </a:xfrm>
                    <a:prstGeom prst="rect">
                      <a:avLst/>
                    </a:prstGeom>
                  </pic:spPr>
                </pic:pic>
              </a:graphicData>
            </a:graphic>
          </wp:inline>
        </w:drawing>
      </w:r>
    </w:p>
    <w:p w14:paraId="63177E6F" w14:textId="45A63F6A" w:rsidR="003841BB" w:rsidRPr="005A16A2" w:rsidRDefault="00814FEC" w:rsidP="00E87347">
      <w:pPr>
        <w:pStyle w:val="Heading4"/>
        <w:jc w:val="center"/>
        <w:rPr>
          <w:rtl/>
        </w:rPr>
      </w:pPr>
      <w:r w:rsidRPr="005A16A2">
        <w:rPr>
          <w:rtl/>
        </w:rPr>
        <w:t>لتحسين الجودة والمساءلة عند الاستجابات الإنسانية باتباع نهج يدور حول الإنسان ويقوم على ضمان حقوقه</w:t>
      </w:r>
      <w:r w:rsidR="00174580">
        <w:t xml:space="preserve"> </w:t>
      </w:r>
    </w:p>
    <w:p w14:paraId="3D9C7EB1" w14:textId="463986C9" w:rsidR="00814FEC" w:rsidRPr="005A16A2" w:rsidRDefault="00814FEC" w:rsidP="00E87347">
      <w:pPr>
        <w:pStyle w:val="Heading4"/>
        <w:jc w:val="center"/>
        <w:rPr>
          <w:rtl/>
        </w:rPr>
      </w:pPr>
      <w:proofErr w:type="gramStart"/>
      <w:r w:rsidRPr="005A16A2">
        <w:rPr>
          <w:rtl/>
        </w:rPr>
        <w:t>مع</w:t>
      </w:r>
      <w:proofErr w:type="gramEnd"/>
      <w:r w:rsidRPr="005A16A2">
        <w:rPr>
          <w:rtl/>
        </w:rPr>
        <w:t xml:space="preserve"> احترام المعايير الدنيا</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893"/>
        <w:gridCol w:w="1153"/>
        <w:gridCol w:w="2055"/>
        <w:gridCol w:w="69"/>
        <w:gridCol w:w="3143"/>
      </w:tblGrid>
      <w:tr w:rsidR="00A362E5" w:rsidRPr="005A16A2" w14:paraId="48F8A7E9" w14:textId="77777777" w:rsidTr="00E87347">
        <w:trPr>
          <w:cantSplit/>
          <w:jc w:val="center"/>
        </w:trPr>
        <w:tc>
          <w:tcPr>
            <w:tcW w:w="1666" w:type="pct"/>
            <w:gridSpan w:val="2"/>
            <w:tcBorders>
              <w:top w:val="single" w:sz="4" w:space="0" w:color="579305" w:themeColor="accent1"/>
              <w:left w:val="single" w:sz="4" w:space="0" w:color="579305" w:themeColor="accent1"/>
              <w:right w:val="single" w:sz="4" w:space="0" w:color="579305" w:themeColor="accent1"/>
            </w:tcBorders>
            <w:shd w:val="clear" w:color="auto" w:fill="E9F7CB" w:themeFill="background2" w:themeFillTint="33"/>
            <w:hideMark/>
          </w:tcPr>
          <w:p w14:paraId="43BE5EA6" w14:textId="5590B964" w:rsidR="00A362E5" w:rsidRPr="005A16A2" w:rsidRDefault="00814FEC" w:rsidP="008D7E08">
            <w:pPr>
              <w:pStyle w:val="tableheading"/>
              <w:jc w:val="center"/>
            </w:pPr>
            <w:proofErr w:type="gramStart"/>
            <w:r w:rsidRPr="005A16A2">
              <w:rPr>
                <w:rtl/>
              </w:rPr>
              <w:t>الميثاق</w:t>
            </w:r>
            <w:proofErr w:type="gramEnd"/>
            <w:r w:rsidRPr="005A16A2">
              <w:rPr>
                <w:rtl/>
              </w:rPr>
              <w:t xml:space="preserve"> الإنساني</w:t>
            </w:r>
          </w:p>
          <w:p w14:paraId="7941CD2F" w14:textId="26D9FB10" w:rsidR="00A362E5" w:rsidRPr="005A16A2" w:rsidRDefault="00814FEC" w:rsidP="00E87347">
            <w:pPr>
              <w:pStyle w:val="tablebullet"/>
            </w:pPr>
            <w:r w:rsidRPr="005A16A2">
              <w:rPr>
                <w:rtl/>
              </w:rPr>
              <w:t>الحق في العيش بكرامة</w:t>
            </w:r>
          </w:p>
          <w:p w14:paraId="6C697DD5" w14:textId="42542416" w:rsidR="00A362E5" w:rsidRPr="005A16A2" w:rsidRDefault="00814FEC" w:rsidP="00E87347">
            <w:pPr>
              <w:pStyle w:val="tablebullet"/>
            </w:pPr>
            <w:r w:rsidRPr="005A16A2">
              <w:rPr>
                <w:rtl/>
              </w:rPr>
              <w:t>الحق في الحصول على المساعدة الإنسانية</w:t>
            </w:r>
          </w:p>
          <w:p w14:paraId="260D34AA" w14:textId="5E0EA7A2" w:rsidR="00A362E5" w:rsidRPr="005A16A2" w:rsidRDefault="00814FEC" w:rsidP="00E87347">
            <w:pPr>
              <w:pStyle w:val="tablebullet"/>
            </w:pPr>
            <w:r w:rsidRPr="005A16A2">
              <w:rPr>
                <w:rtl/>
              </w:rPr>
              <w:t xml:space="preserve">الحق في الحماية </w:t>
            </w:r>
            <w:proofErr w:type="gramStart"/>
            <w:r w:rsidRPr="005A16A2">
              <w:rPr>
                <w:rtl/>
              </w:rPr>
              <w:t>والأمن</w:t>
            </w:r>
            <w:proofErr w:type="gramEnd"/>
            <w:r w:rsidRPr="005A16A2">
              <w:rPr>
                <w:rtl/>
              </w:rPr>
              <w:t xml:space="preserve"> </w:t>
            </w:r>
          </w:p>
        </w:tc>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tcPr>
          <w:p w14:paraId="2D2BCA60" w14:textId="54C7BF51" w:rsidR="00A362E5" w:rsidRPr="005A16A2" w:rsidRDefault="00814FEC" w:rsidP="008D7E08">
            <w:pPr>
              <w:pStyle w:val="tableheading"/>
              <w:jc w:val="center"/>
            </w:pPr>
            <w:r w:rsidRPr="005A16A2">
              <w:rPr>
                <w:rtl/>
              </w:rPr>
              <w:t>المبادئ</w:t>
            </w:r>
          </w:p>
          <w:p w14:paraId="798AFADA" w14:textId="77777777" w:rsidR="00A362E5" w:rsidRPr="005A16A2" w:rsidRDefault="00814FEC" w:rsidP="008D7E08">
            <w:pPr>
              <w:pStyle w:val="tableheading"/>
              <w:jc w:val="center"/>
              <w:rPr>
                <w:rtl/>
              </w:rPr>
            </w:pPr>
            <w:r w:rsidRPr="005A16A2">
              <w:rPr>
                <w:rtl/>
              </w:rPr>
              <w:t xml:space="preserve">وضع </w:t>
            </w:r>
            <w:proofErr w:type="gramStart"/>
            <w:r w:rsidRPr="005A16A2">
              <w:rPr>
                <w:rtl/>
              </w:rPr>
              <w:t>المبادئ</w:t>
            </w:r>
            <w:proofErr w:type="gramEnd"/>
            <w:r w:rsidRPr="005A16A2">
              <w:rPr>
                <w:rtl/>
              </w:rPr>
              <w:t xml:space="preserve"> موضع التنفيذ من خلال</w:t>
            </w:r>
          </w:p>
          <w:p w14:paraId="4F10F52E" w14:textId="44DAA442" w:rsidR="00814FEC" w:rsidRPr="00E87347" w:rsidRDefault="00814FEC" w:rsidP="008D7E08">
            <w:pPr>
              <w:pStyle w:val="table"/>
              <w:jc w:val="center"/>
            </w:pPr>
            <w:proofErr w:type="gramStart"/>
            <w:r w:rsidRPr="008D7E08">
              <w:rPr>
                <w:rtl/>
              </w:rPr>
              <w:t>استخدام</w:t>
            </w:r>
            <w:proofErr w:type="gramEnd"/>
            <w:r w:rsidRPr="00E87347">
              <w:rPr>
                <w:rtl/>
              </w:rPr>
              <w:t xml:space="preserve"> المعايير:</w:t>
            </w:r>
          </w:p>
        </w:tc>
        <w:tc>
          <w:tcPr>
            <w:tcW w:w="1667" w:type="pct"/>
            <w:gridSpan w:val="2"/>
            <w:tcBorders>
              <w:top w:val="single" w:sz="4" w:space="0" w:color="579305" w:themeColor="accent1"/>
              <w:left w:val="single" w:sz="4" w:space="0" w:color="579305" w:themeColor="accent1"/>
              <w:right w:val="single" w:sz="4" w:space="0" w:color="579305" w:themeColor="accent1"/>
            </w:tcBorders>
            <w:shd w:val="clear" w:color="auto" w:fill="E9F7CB" w:themeFill="background2" w:themeFillTint="33"/>
            <w:hideMark/>
          </w:tcPr>
          <w:p w14:paraId="589ABCB4" w14:textId="5DC9FDC6" w:rsidR="00A362E5" w:rsidRPr="005A16A2" w:rsidRDefault="00814FEC" w:rsidP="008D7E08">
            <w:pPr>
              <w:pStyle w:val="tableheading"/>
              <w:jc w:val="center"/>
            </w:pPr>
            <w:proofErr w:type="gramStart"/>
            <w:r w:rsidRPr="005A16A2">
              <w:rPr>
                <w:rtl/>
              </w:rPr>
              <w:t>مبادئ</w:t>
            </w:r>
            <w:proofErr w:type="gramEnd"/>
            <w:r w:rsidRPr="005A16A2">
              <w:rPr>
                <w:rtl/>
              </w:rPr>
              <w:t xml:space="preserve"> الحماية</w:t>
            </w:r>
          </w:p>
          <w:p w14:paraId="43461ACF" w14:textId="10D77C88" w:rsidR="00A362E5" w:rsidRPr="005A16A2" w:rsidRDefault="00814FEC" w:rsidP="00E87347">
            <w:pPr>
              <w:pStyle w:val="tablebullet"/>
            </w:pPr>
            <w:r w:rsidRPr="005A16A2">
              <w:rPr>
                <w:rtl/>
              </w:rPr>
              <w:t>تجنب التسبب في مزيد من الضرر</w:t>
            </w:r>
          </w:p>
          <w:p w14:paraId="737F53BC" w14:textId="5B967E93" w:rsidR="00A362E5" w:rsidRPr="005A16A2" w:rsidRDefault="00814FEC" w:rsidP="00E87347">
            <w:pPr>
              <w:pStyle w:val="tablebullet"/>
            </w:pPr>
            <w:r w:rsidRPr="005A16A2">
              <w:rPr>
                <w:rtl/>
              </w:rPr>
              <w:t xml:space="preserve">ضمان حصول الناس على المساعدة بدون </w:t>
            </w:r>
            <w:proofErr w:type="gramStart"/>
            <w:r w:rsidRPr="005A16A2">
              <w:rPr>
                <w:rtl/>
              </w:rPr>
              <w:t>تحيز</w:t>
            </w:r>
            <w:proofErr w:type="gramEnd"/>
          </w:p>
          <w:p w14:paraId="76BC39A5" w14:textId="38F9868F" w:rsidR="00A362E5" w:rsidRPr="005A16A2" w:rsidRDefault="00814FEC" w:rsidP="00E87347">
            <w:pPr>
              <w:pStyle w:val="tablebullet"/>
            </w:pPr>
            <w:r w:rsidRPr="005A16A2">
              <w:rPr>
                <w:rtl/>
              </w:rPr>
              <w:t>حماية الناس من الأذى</w:t>
            </w:r>
          </w:p>
          <w:p w14:paraId="2DFC73F1" w14:textId="099C0B97" w:rsidR="00A362E5" w:rsidRPr="005A16A2" w:rsidRDefault="00814FEC" w:rsidP="00E87347">
            <w:pPr>
              <w:pStyle w:val="tablebullet"/>
            </w:pPr>
            <w:proofErr w:type="gramStart"/>
            <w:r w:rsidRPr="005A16A2">
              <w:rPr>
                <w:rtl/>
              </w:rPr>
              <w:t>مساعدة</w:t>
            </w:r>
            <w:proofErr w:type="gramEnd"/>
            <w:r w:rsidRPr="005A16A2">
              <w:rPr>
                <w:rtl/>
              </w:rPr>
              <w:t xml:space="preserve"> الناس على المطالبة بحقوقهم والتماس الحلول المتاحة والتعافي من آثار الانتهاكات</w:t>
            </w:r>
          </w:p>
        </w:tc>
      </w:tr>
      <w:tr w:rsidR="00A362E5" w:rsidRPr="005A16A2" w14:paraId="00BF50BF" w14:textId="77777777" w:rsidTr="00E87347">
        <w:trPr>
          <w:cantSplit/>
          <w:jc w:val="center"/>
        </w:trPr>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064E7ACD" w14:textId="4E56CB30" w:rsidR="00A362E5" w:rsidRPr="005A16A2" w:rsidRDefault="00F46955" w:rsidP="008D7E08">
            <w:pPr>
              <w:pStyle w:val="tableheading"/>
              <w:jc w:val="center"/>
            </w:pPr>
            <w:r w:rsidRPr="005A16A2">
              <w:rPr>
                <w:rtl/>
              </w:rPr>
              <w:t xml:space="preserve">المعايير المرافقة </w:t>
            </w:r>
            <w:proofErr w:type="spellStart"/>
            <w:r w:rsidRPr="005A16A2">
              <w:rPr>
                <w:rtl/>
              </w:rPr>
              <w:t>لاسفير</w:t>
            </w:r>
            <w:proofErr w:type="spellEnd"/>
          </w:p>
          <w:p w14:paraId="0BC9C632" w14:textId="74DAECAC" w:rsidR="00A362E5" w:rsidRPr="005A16A2" w:rsidRDefault="00F46955" w:rsidP="00E87347">
            <w:pPr>
              <w:pStyle w:val="tablebullet"/>
            </w:pPr>
            <w:r w:rsidRPr="005A16A2">
              <w:rPr>
                <w:rtl/>
              </w:rPr>
              <w:t>التعليم (</w:t>
            </w:r>
            <w:proofErr w:type="spellStart"/>
            <w:r w:rsidRPr="005A16A2">
              <w:rPr>
                <w:rtl/>
              </w:rPr>
              <w:t>الآيني</w:t>
            </w:r>
            <w:proofErr w:type="spellEnd"/>
            <w:r w:rsidRPr="005A16A2">
              <w:rPr>
                <w:rtl/>
              </w:rPr>
              <w:t>)</w:t>
            </w:r>
          </w:p>
          <w:p w14:paraId="56C516B9" w14:textId="5AFB47F1" w:rsidR="00A362E5" w:rsidRPr="005A16A2" w:rsidRDefault="00F46955" w:rsidP="00E87347">
            <w:pPr>
              <w:pStyle w:val="tablebullet"/>
            </w:pPr>
            <w:r w:rsidRPr="005A16A2">
              <w:rPr>
                <w:rtl/>
              </w:rPr>
              <w:t>الماشية (</w:t>
            </w:r>
            <w:proofErr w:type="spellStart"/>
            <w:r w:rsidRPr="005A16A2">
              <w:rPr>
                <w:rtl/>
              </w:rPr>
              <w:t>لاجز</w:t>
            </w:r>
            <w:proofErr w:type="spellEnd"/>
            <w:r w:rsidRPr="005A16A2">
              <w:rPr>
                <w:rtl/>
              </w:rPr>
              <w:t>)</w:t>
            </w:r>
          </w:p>
          <w:p w14:paraId="620597A3" w14:textId="29A31281" w:rsidR="00A362E5" w:rsidRPr="005A16A2" w:rsidRDefault="00F46955" w:rsidP="00E87347">
            <w:pPr>
              <w:pStyle w:val="tablebullet"/>
            </w:pPr>
            <w:r w:rsidRPr="005A16A2">
              <w:rPr>
                <w:rtl/>
              </w:rPr>
              <w:t>الانعاش الاقتصادي (سيب)</w:t>
            </w:r>
          </w:p>
          <w:p w14:paraId="0B973FA7" w14:textId="05C8DE67" w:rsidR="00A362E5" w:rsidRPr="005A16A2" w:rsidRDefault="00F46955" w:rsidP="00E87347">
            <w:pPr>
              <w:pStyle w:val="tablebullet"/>
            </w:pPr>
            <w:proofErr w:type="gramStart"/>
            <w:r w:rsidRPr="005A16A2">
              <w:rPr>
                <w:rtl/>
              </w:rPr>
              <w:t>مجال</w:t>
            </w:r>
            <w:proofErr w:type="gramEnd"/>
            <w:r w:rsidRPr="005A16A2">
              <w:rPr>
                <w:rtl/>
              </w:rPr>
              <w:t xml:space="preserve"> حماية الطفل</w:t>
            </w:r>
          </w:p>
        </w:tc>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7B1AC256" w14:textId="7ADBA00E" w:rsidR="00E62B63" w:rsidRPr="005A16A2" w:rsidRDefault="00F46955" w:rsidP="008D7E08">
            <w:pPr>
              <w:pStyle w:val="tableheading"/>
              <w:jc w:val="center"/>
            </w:pPr>
            <w:proofErr w:type="gramStart"/>
            <w:r w:rsidRPr="005A16A2">
              <w:rPr>
                <w:rtl/>
              </w:rPr>
              <w:t>المعايير</w:t>
            </w:r>
            <w:proofErr w:type="gramEnd"/>
            <w:r w:rsidRPr="005A16A2">
              <w:rPr>
                <w:rtl/>
              </w:rPr>
              <w:t xml:space="preserve"> الأساسية</w:t>
            </w:r>
          </w:p>
          <w:p w14:paraId="4C9E6815" w14:textId="22AAF158" w:rsidR="00E62B63" w:rsidRPr="005A16A2" w:rsidRDefault="00F46955" w:rsidP="00E87347">
            <w:pPr>
              <w:pStyle w:val="tablebullet"/>
            </w:pPr>
            <w:r w:rsidRPr="005A16A2">
              <w:rPr>
                <w:rtl/>
              </w:rPr>
              <w:t>استجابة تدور حول الناس</w:t>
            </w:r>
          </w:p>
          <w:p w14:paraId="740BDDCB" w14:textId="3C76D7C3" w:rsidR="00E62B63" w:rsidRPr="005A16A2" w:rsidRDefault="00F46955" w:rsidP="00E87347">
            <w:pPr>
              <w:pStyle w:val="tablebullet"/>
            </w:pPr>
            <w:r w:rsidRPr="005A16A2">
              <w:rPr>
                <w:rtl/>
              </w:rPr>
              <w:t xml:space="preserve">التنسيق </w:t>
            </w:r>
            <w:proofErr w:type="gramStart"/>
            <w:r w:rsidRPr="005A16A2">
              <w:rPr>
                <w:rtl/>
              </w:rPr>
              <w:t>والتعاون</w:t>
            </w:r>
            <w:proofErr w:type="gramEnd"/>
          </w:p>
          <w:p w14:paraId="0648B1BB" w14:textId="03BE6AF3" w:rsidR="00E62B63" w:rsidRPr="005A16A2" w:rsidRDefault="00F46955" w:rsidP="00E87347">
            <w:pPr>
              <w:pStyle w:val="tablebullet"/>
            </w:pPr>
            <w:r w:rsidRPr="005A16A2">
              <w:rPr>
                <w:rtl/>
              </w:rPr>
              <w:t>الرصد</w:t>
            </w:r>
          </w:p>
          <w:p w14:paraId="2DD70583" w14:textId="2D32A8E6" w:rsidR="00E62B63" w:rsidRPr="005A16A2" w:rsidRDefault="00F46955" w:rsidP="00E87347">
            <w:pPr>
              <w:pStyle w:val="tablebullet"/>
            </w:pPr>
            <w:r w:rsidRPr="005A16A2">
              <w:rPr>
                <w:rtl/>
              </w:rPr>
              <w:t xml:space="preserve">التصميم </w:t>
            </w:r>
            <w:proofErr w:type="gramStart"/>
            <w:r w:rsidRPr="005A16A2">
              <w:rPr>
                <w:rtl/>
              </w:rPr>
              <w:t>والاستجابة</w:t>
            </w:r>
            <w:proofErr w:type="gramEnd"/>
          </w:p>
          <w:p w14:paraId="639FCAE8" w14:textId="1A792EA1" w:rsidR="00E62B63" w:rsidRPr="005A16A2" w:rsidRDefault="00F46955" w:rsidP="00E87347">
            <w:pPr>
              <w:pStyle w:val="tablebullet"/>
            </w:pPr>
            <w:r w:rsidRPr="005A16A2">
              <w:rPr>
                <w:rtl/>
              </w:rPr>
              <w:t>الانجاز والشفافية والتعلم</w:t>
            </w:r>
          </w:p>
          <w:p w14:paraId="4471B1AD" w14:textId="3DB20787" w:rsidR="00A362E5" w:rsidRPr="005A16A2" w:rsidRDefault="00F46955" w:rsidP="00E87347">
            <w:pPr>
              <w:pStyle w:val="tablebullet"/>
            </w:pPr>
            <w:r w:rsidRPr="005A16A2">
              <w:rPr>
                <w:rtl/>
              </w:rPr>
              <w:t>انجاز العاملين في مجال العمل الإنساني</w:t>
            </w:r>
          </w:p>
        </w:tc>
        <w:tc>
          <w:tcPr>
            <w:tcW w:w="1667"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58BA02AD" w14:textId="4DEE3AD3" w:rsidR="00A362E5" w:rsidRPr="005A16A2" w:rsidRDefault="00F46955" w:rsidP="008D7E08">
            <w:pPr>
              <w:pStyle w:val="tableheading"/>
              <w:jc w:val="center"/>
            </w:pPr>
            <w:proofErr w:type="gramStart"/>
            <w:r w:rsidRPr="005A16A2">
              <w:rPr>
                <w:rtl/>
              </w:rPr>
              <w:t>الأجزاء</w:t>
            </w:r>
            <w:proofErr w:type="gramEnd"/>
            <w:r w:rsidRPr="005A16A2">
              <w:rPr>
                <w:rtl/>
              </w:rPr>
              <w:t xml:space="preserve"> العامة المشتركة</w:t>
            </w:r>
          </w:p>
          <w:p w14:paraId="730595F7" w14:textId="57BF25CD" w:rsidR="00A362E5" w:rsidRPr="005A16A2" w:rsidRDefault="00F46955" w:rsidP="00E87347">
            <w:pPr>
              <w:pStyle w:val="tablebullet"/>
            </w:pPr>
            <w:r w:rsidRPr="005A16A2">
              <w:rPr>
                <w:rtl/>
              </w:rPr>
              <w:t>الأطفال</w:t>
            </w:r>
          </w:p>
          <w:p w14:paraId="38570CE2" w14:textId="3A08E448" w:rsidR="00A362E5" w:rsidRPr="005A16A2" w:rsidRDefault="00F46955" w:rsidP="00E87347">
            <w:pPr>
              <w:pStyle w:val="tablebullet"/>
            </w:pPr>
            <w:r w:rsidRPr="005A16A2">
              <w:rPr>
                <w:rtl/>
              </w:rPr>
              <w:t>التخفيف من حدة مخاطر الكارثة</w:t>
            </w:r>
          </w:p>
          <w:p w14:paraId="7E960028" w14:textId="3C60BA41" w:rsidR="00A362E5" w:rsidRPr="005A16A2" w:rsidRDefault="00F46955" w:rsidP="00E87347">
            <w:pPr>
              <w:pStyle w:val="tablebullet"/>
            </w:pPr>
            <w:r w:rsidRPr="005A16A2">
              <w:rPr>
                <w:rtl/>
              </w:rPr>
              <w:t>المحيط</w:t>
            </w:r>
          </w:p>
          <w:p w14:paraId="5B90F85D" w14:textId="29138C1B" w:rsidR="00A362E5" w:rsidRPr="005A16A2" w:rsidRDefault="00F46955" w:rsidP="00E87347">
            <w:pPr>
              <w:pStyle w:val="tablebullet"/>
            </w:pPr>
            <w:r w:rsidRPr="005A16A2">
              <w:rPr>
                <w:rtl/>
              </w:rPr>
              <w:t>الجنس</w:t>
            </w:r>
          </w:p>
          <w:p w14:paraId="6394EF1C" w14:textId="06269D62" w:rsidR="00A362E5" w:rsidRPr="005A16A2" w:rsidRDefault="00F46955" w:rsidP="00E87347">
            <w:pPr>
              <w:pStyle w:val="tablebullet"/>
            </w:pPr>
            <w:r w:rsidRPr="005A16A2">
              <w:rPr>
                <w:rtl/>
              </w:rPr>
              <w:t xml:space="preserve">مرض </w:t>
            </w:r>
            <w:proofErr w:type="gramStart"/>
            <w:r w:rsidRPr="005A16A2">
              <w:rPr>
                <w:rtl/>
              </w:rPr>
              <w:t>نقص</w:t>
            </w:r>
            <w:proofErr w:type="gramEnd"/>
            <w:r w:rsidRPr="005A16A2">
              <w:rPr>
                <w:rtl/>
              </w:rPr>
              <w:t xml:space="preserve"> المناعة</w:t>
            </w:r>
          </w:p>
          <w:p w14:paraId="63A5F184" w14:textId="25A7009E" w:rsidR="00A362E5" w:rsidRPr="005A16A2" w:rsidRDefault="00F46955" w:rsidP="00E87347">
            <w:pPr>
              <w:pStyle w:val="tablebullet"/>
            </w:pPr>
            <w:proofErr w:type="gramStart"/>
            <w:r w:rsidRPr="005A16A2">
              <w:rPr>
                <w:rtl/>
              </w:rPr>
              <w:t>كبار</w:t>
            </w:r>
            <w:proofErr w:type="gramEnd"/>
            <w:r w:rsidRPr="005A16A2">
              <w:rPr>
                <w:rtl/>
              </w:rPr>
              <w:t xml:space="preserve"> السن</w:t>
            </w:r>
          </w:p>
          <w:p w14:paraId="702F47D1" w14:textId="355F9A22" w:rsidR="00A362E5" w:rsidRPr="005A16A2" w:rsidRDefault="00F46955" w:rsidP="00E87347">
            <w:pPr>
              <w:pStyle w:val="tablebullet"/>
            </w:pPr>
            <w:proofErr w:type="gramStart"/>
            <w:r w:rsidRPr="005A16A2">
              <w:rPr>
                <w:rtl/>
              </w:rPr>
              <w:t>أصحاب</w:t>
            </w:r>
            <w:proofErr w:type="gramEnd"/>
            <w:r w:rsidRPr="005A16A2">
              <w:rPr>
                <w:rtl/>
              </w:rPr>
              <w:t xml:space="preserve"> الإعاقات</w:t>
            </w:r>
          </w:p>
          <w:p w14:paraId="60E30839" w14:textId="156D8980" w:rsidR="00A362E5" w:rsidRPr="005A16A2" w:rsidRDefault="00F46955" w:rsidP="00E87347">
            <w:pPr>
              <w:pStyle w:val="tablebullet"/>
            </w:pPr>
            <w:proofErr w:type="gramStart"/>
            <w:r w:rsidRPr="005A16A2">
              <w:rPr>
                <w:rtl/>
              </w:rPr>
              <w:t>الدعم</w:t>
            </w:r>
            <w:proofErr w:type="gramEnd"/>
            <w:r w:rsidRPr="005A16A2">
              <w:rPr>
                <w:rtl/>
              </w:rPr>
              <w:t xml:space="preserve"> النفسي</w:t>
            </w:r>
          </w:p>
        </w:tc>
      </w:tr>
      <w:tr w:rsidR="00A362E5" w:rsidRPr="005A16A2" w14:paraId="20B509E0" w14:textId="77777777" w:rsidTr="00E87347">
        <w:trPr>
          <w:cantSplit/>
          <w:jc w:val="center"/>
        </w:trPr>
        <w:tc>
          <w:tcPr>
            <w:tcW w:w="5000" w:type="pct"/>
            <w:gridSpan w:val="6"/>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2DCCB128" w14:textId="47753F63" w:rsidR="00A362E5" w:rsidRPr="00E87347" w:rsidRDefault="002058A4" w:rsidP="008D7E08">
            <w:pPr>
              <w:pStyle w:val="table"/>
            </w:pPr>
            <w:r w:rsidRPr="00E87347">
              <w:rPr>
                <w:rtl/>
              </w:rPr>
              <w:t xml:space="preserve">لتطبيق المعايير الدنيا، يجب الاخذ في الاعتبار </w:t>
            </w:r>
            <w:r w:rsidRPr="008D7E08">
              <w:rPr>
                <w:b/>
                <w:bCs/>
                <w:rtl/>
              </w:rPr>
              <w:t>التدابير الأساسية</w:t>
            </w:r>
            <w:r w:rsidRPr="00E87347">
              <w:rPr>
                <w:rtl/>
              </w:rPr>
              <w:t xml:space="preserve">. </w:t>
            </w:r>
            <w:proofErr w:type="gramStart"/>
            <w:r w:rsidRPr="008D7E08">
              <w:rPr>
                <w:b/>
                <w:bCs/>
                <w:rtl/>
              </w:rPr>
              <w:t>أما</w:t>
            </w:r>
            <w:proofErr w:type="gramEnd"/>
            <w:r w:rsidRPr="008D7E08">
              <w:rPr>
                <w:b/>
                <w:bCs/>
                <w:rtl/>
              </w:rPr>
              <w:t xml:space="preserve"> المؤشرات الرئيسية</w:t>
            </w:r>
            <w:r w:rsidRPr="00E87347">
              <w:rPr>
                <w:rtl/>
              </w:rPr>
              <w:t xml:space="preserve"> فهي لقياس مدى تنفيذ ا</w:t>
            </w:r>
            <w:r w:rsidR="00D4042F" w:rsidRPr="00E87347">
              <w:rPr>
                <w:rtl/>
              </w:rPr>
              <w:t>لمعيار</w:t>
            </w:r>
            <w:r w:rsidR="00D4042F" w:rsidRPr="008D7E08">
              <w:rPr>
                <w:b/>
                <w:bCs/>
                <w:rtl/>
              </w:rPr>
              <w:t>. والملاحظات الإرشادية</w:t>
            </w:r>
            <w:r w:rsidR="00D4042F" w:rsidRPr="00E87347">
              <w:rPr>
                <w:rtl/>
              </w:rPr>
              <w:t xml:space="preserve"> بدورها يتعين أخذها بعين الاعتبار عند استهداف الوصول إلى </w:t>
            </w:r>
            <w:r w:rsidR="00D4042F" w:rsidRPr="008D7E08">
              <w:rPr>
                <w:b/>
                <w:bCs/>
                <w:rtl/>
              </w:rPr>
              <w:t>التدابير</w:t>
            </w:r>
            <w:r w:rsidR="00D4042F" w:rsidRPr="00E87347">
              <w:rPr>
                <w:rtl/>
              </w:rPr>
              <w:t xml:space="preserve"> </w:t>
            </w:r>
            <w:r w:rsidR="00D4042F" w:rsidRPr="008D7E08">
              <w:rPr>
                <w:b/>
                <w:bCs/>
                <w:rtl/>
              </w:rPr>
              <w:t>الأساسية</w:t>
            </w:r>
            <w:r w:rsidR="00D4042F" w:rsidRPr="00E87347">
              <w:rPr>
                <w:rtl/>
              </w:rPr>
              <w:t xml:space="preserve"> والمؤشرات الرئيسية </w:t>
            </w:r>
            <w:proofErr w:type="gramStart"/>
            <w:r w:rsidR="00D4042F" w:rsidRPr="00E87347">
              <w:rPr>
                <w:rtl/>
              </w:rPr>
              <w:t>في :</w:t>
            </w:r>
            <w:proofErr w:type="gramEnd"/>
            <w:r w:rsidR="00D4042F" w:rsidRPr="00E87347">
              <w:rPr>
                <w:rtl/>
              </w:rPr>
              <w:t xml:space="preserve"> </w:t>
            </w:r>
            <w:r w:rsidRPr="00E87347">
              <w:rPr>
                <w:rtl/>
              </w:rPr>
              <w:t xml:space="preserve"> </w:t>
            </w:r>
          </w:p>
        </w:tc>
      </w:tr>
      <w:tr w:rsidR="00E62B63" w:rsidRPr="005A16A2" w14:paraId="03305A0A" w14:textId="77777777" w:rsidTr="00E87347">
        <w:trPr>
          <w:cantSplit/>
          <w:jc w:val="center"/>
        </w:trPr>
        <w:tc>
          <w:tcPr>
            <w:tcW w:w="5000" w:type="pct"/>
            <w:gridSpan w:val="6"/>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63EFD7A2" w14:textId="5271564A" w:rsidR="00E62B63" w:rsidRPr="005A16A2" w:rsidRDefault="00D4042F" w:rsidP="00E87347">
            <w:pPr>
              <w:pStyle w:val="tableheading"/>
              <w:jc w:val="center"/>
            </w:pPr>
            <w:r w:rsidRPr="005A16A2">
              <w:rPr>
                <w:rtl/>
              </w:rPr>
              <w:t>الفصول التقنية</w:t>
            </w:r>
          </w:p>
        </w:tc>
      </w:tr>
      <w:tr w:rsidR="00D34FFC" w:rsidRPr="005A16A2" w14:paraId="6779674A" w14:textId="77777777" w:rsidTr="00E87347">
        <w:trPr>
          <w:cantSplit/>
          <w:jc w:val="center"/>
        </w:trPr>
        <w:tc>
          <w:tcPr>
            <w:tcW w:w="120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5C488EA5" w14:textId="3D8475BD" w:rsidR="00A362E5" w:rsidRPr="005A16A2" w:rsidRDefault="00D4042F" w:rsidP="008D7E08">
            <w:pPr>
              <w:pStyle w:val="tableheading"/>
              <w:jc w:val="center"/>
            </w:pPr>
            <w:r w:rsidRPr="005A16A2">
              <w:rPr>
                <w:rtl/>
              </w:rPr>
              <w:t>الماء والاصحاح</w:t>
            </w:r>
          </w:p>
        </w:tc>
        <w:tc>
          <w:tcPr>
            <w:tcW w:w="106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66953997" w14:textId="0BC712D5" w:rsidR="00A362E5" w:rsidRPr="005A16A2" w:rsidRDefault="00D4042F" w:rsidP="008D7E08">
            <w:pPr>
              <w:pStyle w:val="tableheading"/>
              <w:jc w:val="center"/>
            </w:pPr>
            <w:r w:rsidRPr="005A16A2">
              <w:rPr>
                <w:rtl/>
              </w:rPr>
              <w:t>التغذية</w:t>
            </w:r>
          </w:p>
        </w:tc>
        <w:tc>
          <w:tcPr>
            <w:tcW w:w="110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05CF340B" w14:textId="71E78A8D" w:rsidR="00A362E5" w:rsidRPr="005A16A2" w:rsidRDefault="00D4042F" w:rsidP="008D7E08">
            <w:pPr>
              <w:pStyle w:val="tableheading"/>
              <w:jc w:val="center"/>
            </w:pPr>
            <w:r w:rsidRPr="005A16A2">
              <w:rPr>
                <w:rtl/>
              </w:rPr>
              <w:t>المأوى</w:t>
            </w:r>
          </w:p>
        </w:tc>
        <w:tc>
          <w:tcPr>
            <w:tcW w:w="163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790C49D5" w14:textId="4D3C4BF4" w:rsidR="00A362E5" w:rsidRPr="005A16A2" w:rsidRDefault="00D4042F" w:rsidP="008D7E08">
            <w:pPr>
              <w:pStyle w:val="tableheading"/>
              <w:jc w:val="center"/>
            </w:pPr>
            <w:r w:rsidRPr="005A16A2">
              <w:rPr>
                <w:rtl/>
              </w:rPr>
              <w:t>الصحة</w:t>
            </w:r>
          </w:p>
        </w:tc>
      </w:tr>
      <w:tr w:rsidR="00A362E5" w:rsidRPr="005A16A2" w14:paraId="17DEEAC8" w14:textId="77777777" w:rsidTr="00E87347">
        <w:trPr>
          <w:jc w:val="center"/>
        </w:trPr>
        <w:tc>
          <w:tcPr>
            <w:tcW w:w="120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60F60459" w14:textId="77777777" w:rsidR="00CB3E59" w:rsidRPr="005A16A2" w:rsidRDefault="00CB3E59" w:rsidP="00320FF9">
            <w:pPr>
              <w:pStyle w:val="tablebullet"/>
            </w:pPr>
            <w:r w:rsidRPr="005A16A2">
              <w:rPr>
                <w:rtl/>
              </w:rPr>
              <w:t xml:space="preserve">إمدادات المياه والصرف الصحي </w:t>
            </w:r>
            <w:proofErr w:type="gramStart"/>
            <w:r w:rsidRPr="005A16A2">
              <w:rPr>
                <w:rtl/>
              </w:rPr>
              <w:t>والنظافة</w:t>
            </w:r>
            <w:proofErr w:type="gramEnd"/>
          </w:p>
          <w:p w14:paraId="5911A6DE" w14:textId="51B48122" w:rsidR="00CB3E59" w:rsidRPr="005A16A2" w:rsidRDefault="00CB3E59" w:rsidP="00320FF9">
            <w:pPr>
              <w:pStyle w:val="tablebullet"/>
            </w:pPr>
            <w:proofErr w:type="gramStart"/>
            <w:r w:rsidRPr="005A16A2">
              <w:rPr>
                <w:rtl/>
              </w:rPr>
              <w:t>تعزيز</w:t>
            </w:r>
            <w:proofErr w:type="gramEnd"/>
            <w:r w:rsidRPr="005A16A2">
              <w:rPr>
                <w:rtl/>
              </w:rPr>
              <w:t xml:space="preserve"> النظافة</w:t>
            </w:r>
          </w:p>
          <w:p w14:paraId="153B7901" w14:textId="14CAC467" w:rsidR="00CB3E59" w:rsidRPr="005A16A2" w:rsidRDefault="00CB3E59" w:rsidP="00320FF9">
            <w:pPr>
              <w:pStyle w:val="tablebullet"/>
            </w:pPr>
            <w:proofErr w:type="gramStart"/>
            <w:r w:rsidRPr="005A16A2">
              <w:rPr>
                <w:rtl/>
              </w:rPr>
              <w:t>إمدادات</w:t>
            </w:r>
            <w:proofErr w:type="gramEnd"/>
            <w:r w:rsidRPr="005A16A2">
              <w:rPr>
                <w:rtl/>
              </w:rPr>
              <w:t xml:space="preserve"> المياه</w:t>
            </w:r>
          </w:p>
          <w:p w14:paraId="259DD37D" w14:textId="41DD6F19" w:rsidR="00CB3E59" w:rsidRPr="005A16A2" w:rsidRDefault="00CB3E59" w:rsidP="00320FF9">
            <w:pPr>
              <w:pStyle w:val="tablebullet"/>
            </w:pPr>
            <w:r w:rsidRPr="005A16A2">
              <w:rPr>
                <w:rtl/>
              </w:rPr>
              <w:t>التخلص من الفضلات</w:t>
            </w:r>
          </w:p>
          <w:p w14:paraId="32C717C3" w14:textId="66FBD717" w:rsidR="00CB3E59" w:rsidRPr="005A16A2" w:rsidRDefault="00CB3E59" w:rsidP="00320FF9">
            <w:pPr>
              <w:pStyle w:val="tablebullet"/>
            </w:pPr>
            <w:r w:rsidRPr="005A16A2">
              <w:rPr>
                <w:rtl/>
              </w:rPr>
              <w:t>مكافحة النواقل</w:t>
            </w:r>
          </w:p>
          <w:p w14:paraId="1AE753E8" w14:textId="6677725B" w:rsidR="00CB3E59" w:rsidRPr="005A16A2" w:rsidRDefault="00CB3E59" w:rsidP="00320FF9">
            <w:pPr>
              <w:pStyle w:val="tablebullet"/>
            </w:pPr>
            <w:r w:rsidRPr="005A16A2">
              <w:rPr>
                <w:rtl/>
              </w:rPr>
              <w:t>إدارة النفايات الصلبة</w:t>
            </w:r>
          </w:p>
          <w:p w14:paraId="17A16252" w14:textId="0F6B0792" w:rsidR="00A362E5" w:rsidRPr="005A16A2" w:rsidRDefault="00CB3E59" w:rsidP="00320FF9">
            <w:pPr>
              <w:pStyle w:val="tablebullet"/>
            </w:pPr>
            <w:r w:rsidRPr="005A16A2">
              <w:rPr>
                <w:rtl/>
              </w:rPr>
              <w:t>الصرف</w:t>
            </w:r>
          </w:p>
        </w:tc>
        <w:tc>
          <w:tcPr>
            <w:tcW w:w="106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432F5903" w14:textId="77777777" w:rsidR="00CB3E59" w:rsidRPr="005A16A2" w:rsidRDefault="00CB3E59" w:rsidP="00E87347">
            <w:pPr>
              <w:pStyle w:val="tablebullet"/>
            </w:pPr>
            <w:r w:rsidRPr="005A16A2">
              <w:rPr>
                <w:rtl/>
              </w:rPr>
              <w:t xml:space="preserve">تقييم الأمن الغذائي </w:t>
            </w:r>
            <w:proofErr w:type="gramStart"/>
            <w:r w:rsidRPr="005A16A2">
              <w:rPr>
                <w:rtl/>
              </w:rPr>
              <w:t>والتغذية</w:t>
            </w:r>
            <w:proofErr w:type="gramEnd"/>
          </w:p>
          <w:p w14:paraId="0A76AE85" w14:textId="160E7E33" w:rsidR="00CB3E59" w:rsidRPr="005A16A2" w:rsidRDefault="00CB3E59" w:rsidP="00E87347">
            <w:pPr>
              <w:pStyle w:val="tablebullet"/>
            </w:pPr>
            <w:proofErr w:type="gramStart"/>
            <w:r w:rsidRPr="005A16A2">
              <w:rPr>
                <w:rtl/>
              </w:rPr>
              <w:t>تغذية</w:t>
            </w:r>
            <w:proofErr w:type="gramEnd"/>
            <w:r w:rsidRPr="005A16A2">
              <w:rPr>
                <w:rtl/>
              </w:rPr>
              <w:t xml:space="preserve"> الرضع وصغار الأطفال</w:t>
            </w:r>
          </w:p>
          <w:p w14:paraId="0611E369" w14:textId="36E54ED8" w:rsidR="00CB3E59" w:rsidRPr="005A16A2" w:rsidRDefault="00CB3E59" w:rsidP="00E87347">
            <w:pPr>
              <w:pStyle w:val="tablebullet"/>
            </w:pPr>
            <w:r w:rsidRPr="005A16A2">
              <w:rPr>
                <w:rtl/>
              </w:rPr>
              <w:t xml:space="preserve">إدارة سوء التغذية </w:t>
            </w:r>
            <w:proofErr w:type="gramStart"/>
            <w:r w:rsidRPr="005A16A2">
              <w:rPr>
                <w:rtl/>
              </w:rPr>
              <w:t>ونقص</w:t>
            </w:r>
            <w:proofErr w:type="gramEnd"/>
            <w:r w:rsidRPr="005A16A2">
              <w:rPr>
                <w:rtl/>
              </w:rPr>
              <w:t xml:space="preserve"> المغذيات الدقيقة الحادة</w:t>
            </w:r>
          </w:p>
          <w:p w14:paraId="31D4CDB4" w14:textId="450C3A2D" w:rsidR="00A362E5" w:rsidRPr="005A16A2" w:rsidRDefault="00CB3E59" w:rsidP="00E87347">
            <w:pPr>
              <w:pStyle w:val="tablebullet"/>
            </w:pPr>
            <w:proofErr w:type="gramStart"/>
            <w:r w:rsidRPr="005A16A2">
              <w:rPr>
                <w:rtl/>
              </w:rPr>
              <w:t>الأمن</w:t>
            </w:r>
            <w:proofErr w:type="gramEnd"/>
            <w:r w:rsidRPr="005A16A2">
              <w:rPr>
                <w:rtl/>
              </w:rPr>
              <w:t xml:space="preserve"> الغذائي</w:t>
            </w:r>
          </w:p>
        </w:tc>
        <w:tc>
          <w:tcPr>
            <w:tcW w:w="110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2BE3CDF2" w14:textId="292003EA" w:rsidR="00D4042F" w:rsidRPr="005A16A2" w:rsidRDefault="00D4042F" w:rsidP="00E87347">
            <w:pPr>
              <w:pStyle w:val="tablebullet"/>
            </w:pPr>
            <w:r w:rsidRPr="005A16A2">
              <w:rPr>
                <w:rtl/>
              </w:rPr>
              <w:t>المأوى والمستوطنات</w:t>
            </w:r>
          </w:p>
          <w:p w14:paraId="0C8490B1" w14:textId="67A5570C" w:rsidR="00A362E5" w:rsidRPr="005A16A2" w:rsidRDefault="00D4042F" w:rsidP="00E87347">
            <w:pPr>
              <w:pStyle w:val="tablebullet"/>
            </w:pPr>
            <w:proofErr w:type="gramStart"/>
            <w:r w:rsidRPr="005A16A2">
              <w:rPr>
                <w:rtl/>
              </w:rPr>
              <w:t>المواد</w:t>
            </w:r>
            <w:proofErr w:type="gramEnd"/>
            <w:r w:rsidRPr="005A16A2">
              <w:rPr>
                <w:rtl/>
              </w:rPr>
              <w:t xml:space="preserve"> غير الغذائية: الملابس والفراش والأدوات المنزلية</w:t>
            </w:r>
          </w:p>
        </w:tc>
        <w:tc>
          <w:tcPr>
            <w:tcW w:w="163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54AF910B" w14:textId="1FFA11B7" w:rsidR="00A362E5" w:rsidRPr="005A16A2" w:rsidRDefault="00D4042F" w:rsidP="00E87347">
            <w:pPr>
              <w:pStyle w:val="tablebullet"/>
            </w:pPr>
            <w:proofErr w:type="gramStart"/>
            <w:r w:rsidRPr="005A16A2">
              <w:rPr>
                <w:rtl/>
              </w:rPr>
              <w:t>الأنظمة</w:t>
            </w:r>
            <w:proofErr w:type="gramEnd"/>
            <w:r w:rsidRPr="005A16A2">
              <w:rPr>
                <w:rtl/>
              </w:rPr>
              <w:t xml:space="preserve"> الصحية</w:t>
            </w:r>
          </w:p>
          <w:p w14:paraId="6E5C3C6B" w14:textId="1A8CAFBE" w:rsidR="00A362E5" w:rsidRPr="005A16A2" w:rsidRDefault="00D4042F" w:rsidP="00E87347">
            <w:pPr>
              <w:pStyle w:val="tablebullet"/>
            </w:pPr>
            <w:proofErr w:type="gramStart"/>
            <w:r w:rsidRPr="005A16A2">
              <w:rPr>
                <w:rtl/>
              </w:rPr>
              <w:t>الخدمات</w:t>
            </w:r>
            <w:proofErr w:type="gramEnd"/>
            <w:r w:rsidRPr="005A16A2">
              <w:rPr>
                <w:rtl/>
              </w:rPr>
              <w:t xml:space="preserve"> الصحية الأساسية</w:t>
            </w:r>
          </w:p>
          <w:p w14:paraId="0D880BB8" w14:textId="77777777" w:rsidR="00D4042F" w:rsidRPr="005A16A2" w:rsidRDefault="00D4042F" w:rsidP="008D7E08">
            <w:pPr>
              <w:pStyle w:val="table"/>
              <w:ind w:left="284"/>
            </w:pPr>
            <w:r w:rsidRPr="005A16A2">
              <w:t xml:space="preserve">- </w:t>
            </w:r>
            <w:r w:rsidRPr="005A16A2">
              <w:rPr>
                <w:rtl/>
              </w:rPr>
              <w:t>مكافحة الأمراض المعدية</w:t>
            </w:r>
          </w:p>
          <w:p w14:paraId="37364FCF" w14:textId="77777777" w:rsidR="00D4042F" w:rsidRPr="005A16A2" w:rsidRDefault="00D4042F" w:rsidP="008D7E08">
            <w:pPr>
              <w:pStyle w:val="table"/>
              <w:ind w:left="284"/>
            </w:pPr>
            <w:r w:rsidRPr="005A16A2">
              <w:t xml:space="preserve">- </w:t>
            </w:r>
            <w:r w:rsidRPr="005A16A2">
              <w:rPr>
                <w:rtl/>
              </w:rPr>
              <w:t>صحة الطفل</w:t>
            </w:r>
          </w:p>
          <w:p w14:paraId="39A09A5B" w14:textId="77777777" w:rsidR="00D4042F" w:rsidRPr="005A16A2" w:rsidRDefault="00D4042F" w:rsidP="008D7E08">
            <w:pPr>
              <w:pStyle w:val="table"/>
              <w:ind w:left="284"/>
            </w:pPr>
            <w:r w:rsidRPr="005A16A2">
              <w:t xml:space="preserve">- </w:t>
            </w:r>
            <w:r w:rsidRPr="005A16A2">
              <w:rPr>
                <w:rtl/>
              </w:rPr>
              <w:t>الصحة الجنسية والإنجابية</w:t>
            </w:r>
          </w:p>
          <w:p w14:paraId="614E6CF3" w14:textId="77777777" w:rsidR="00D4042F" w:rsidRPr="005A16A2" w:rsidRDefault="00D4042F" w:rsidP="008D7E08">
            <w:pPr>
              <w:pStyle w:val="table"/>
              <w:ind w:left="284"/>
            </w:pPr>
            <w:r w:rsidRPr="005A16A2">
              <w:t xml:space="preserve">- </w:t>
            </w:r>
            <w:r w:rsidRPr="005A16A2">
              <w:rPr>
                <w:rtl/>
              </w:rPr>
              <w:t>الإصابات</w:t>
            </w:r>
          </w:p>
          <w:p w14:paraId="18B68297" w14:textId="77777777" w:rsidR="00D4042F" w:rsidRPr="005A16A2" w:rsidRDefault="00D4042F" w:rsidP="008D7E08">
            <w:pPr>
              <w:pStyle w:val="table"/>
              <w:ind w:left="284"/>
            </w:pPr>
            <w:r w:rsidRPr="005A16A2">
              <w:t xml:space="preserve">- </w:t>
            </w:r>
            <w:r w:rsidRPr="005A16A2">
              <w:rPr>
                <w:rtl/>
              </w:rPr>
              <w:t>الصحة العقلية</w:t>
            </w:r>
          </w:p>
          <w:p w14:paraId="388D1803" w14:textId="2CBCAC4E" w:rsidR="00A362E5" w:rsidRPr="005A16A2" w:rsidRDefault="00D4042F" w:rsidP="008D7E08">
            <w:pPr>
              <w:pStyle w:val="table"/>
              <w:ind w:left="284"/>
            </w:pPr>
            <w:r w:rsidRPr="005A16A2">
              <w:t xml:space="preserve">- </w:t>
            </w:r>
            <w:r w:rsidRPr="005A16A2">
              <w:rPr>
                <w:rtl/>
              </w:rPr>
              <w:t>الأمراض غير المعدية</w:t>
            </w:r>
          </w:p>
        </w:tc>
      </w:tr>
    </w:tbl>
    <w:p w14:paraId="701E8076" w14:textId="5A9A4234" w:rsidR="003918D7" w:rsidRPr="005A16A2" w:rsidRDefault="002B594A" w:rsidP="00564764">
      <w:pPr>
        <w:bidi w:val="0"/>
        <w:spacing w:before="240"/>
        <w:jc w:val="right"/>
      </w:pPr>
      <w:r w:rsidRPr="005A16A2">
        <w:t xml:space="preserve">© </w:t>
      </w:r>
      <w:r w:rsidR="00CB3E59" w:rsidRPr="005A16A2">
        <w:rPr>
          <w:rtl/>
        </w:rPr>
        <w:t xml:space="preserve">أوليفير </w:t>
      </w:r>
      <w:proofErr w:type="spellStart"/>
      <w:r w:rsidR="00CB3E59" w:rsidRPr="005A16A2">
        <w:rPr>
          <w:rtl/>
        </w:rPr>
        <w:t>هوفمان</w:t>
      </w:r>
      <w:proofErr w:type="spellEnd"/>
      <w:r w:rsidR="00CB3E59" w:rsidRPr="005A16A2">
        <w:rPr>
          <w:rtl/>
        </w:rPr>
        <w:t xml:space="preserve">، منظمة </w:t>
      </w:r>
      <w:proofErr w:type="spellStart"/>
      <w:r w:rsidR="00CB3E59" w:rsidRPr="005A16A2">
        <w:rPr>
          <w:rtl/>
        </w:rPr>
        <w:t>جوهانيتير</w:t>
      </w:r>
      <w:proofErr w:type="spellEnd"/>
      <w:r w:rsidR="00CB3E59" w:rsidRPr="005A16A2">
        <w:rPr>
          <w:rtl/>
        </w:rPr>
        <w:t xml:space="preserve"> الدولية </w:t>
      </w:r>
      <w:proofErr w:type="spellStart"/>
      <w:r w:rsidR="00CB3E59" w:rsidRPr="005A16A2">
        <w:rPr>
          <w:rtl/>
        </w:rPr>
        <w:t>للاعانة</w:t>
      </w:r>
      <w:proofErr w:type="spellEnd"/>
      <w:r w:rsidR="00CB3E59" w:rsidRPr="005A16A2">
        <w:rPr>
          <w:rtl/>
        </w:rPr>
        <w:t xml:space="preserve"> </w:t>
      </w:r>
    </w:p>
    <w:sectPr w:rsidR="003918D7" w:rsidRPr="005A16A2" w:rsidSect="00F5160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E88A1" w14:textId="77777777" w:rsidR="00664D23" w:rsidRDefault="00664D23" w:rsidP="002848CC">
      <w:pPr>
        <w:spacing w:before="0"/>
      </w:pPr>
      <w:r>
        <w:separator/>
      </w:r>
    </w:p>
  </w:endnote>
  <w:endnote w:type="continuationSeparator" w:id="0">
    <w:p w14:paraId="640030CD" w14:textId="77777777" w:rsidR="00664D23" w:rsidRDefault="00664D2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517279CF" w:rsidR="00E62B63" w:rsidRPr="004F1D9A" w:rsidRDefault="00E62B63" w:rsidP="00F51600">
    <w:pPr>
      <w:pStyle w:val="Footer"/>
    </w:pPr>
    <w:r w:rsidRPr="00D16636">
      <w:rPr>
        <w:lang w:val="en-US"/>
      </w:rPr>
      <w:t xml:space="preserve">Module B3: Sphere, Disaster Risk Reduction/Management and resilience. </w:t>
    </w:r>
    <w:proofErr w:type="spellStart"/>
    <w:r w:rsidRPr="00F97BB3">
      <w:t>Sphere</w:t>
    </w:r>
    <w:proofErr w:type="spellEnd"/>
    <w:r w:rsidRPr="00F97BB3">
      <w:t xml:space="preserv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2AFE" w14:textId="3324D46F" w:rsidR="00E62B63" w:rsidRPr="005A16A2" w:rsidRDefault="00CB3E59" w:rsidP="00D77B73">
    <w:pPr>
      <w:pStyle w:val="Footer"/>
    </w:pPr>
    <w:r w:rsidRPr="005A16A2">
      <w:rPr>
        <w:rtl/>
      </w:rPr>
      <w:t>الجز</w:t>
    </w:r>
    <w:r w:rsidRPr="005A16A2">
      <w:rPr>
        <w:rFonts w:hint="cs"/>
        <w:rtl/>
      </w:rPr>
      <w:t>ء</w:t>
    </w:r>
    <w:r w:rsidRPr="005A16A2">
      <w:rPr>
        <w:rtl/>
      </w:rPr>
      <w:t xml:space="preserve"> "أ"</w:t>
    </w:r>
    <w:r w:rsidR="00D77B73">
      <w:rPr>
        <w:rFonts w:hint="cs"/>
        <w:rtl/>
      </w:rPr>
      <w:t xml:space="preserve"> 1</w:t>
    </w:r>
    <w:r w:rsidRPr="005A16A2">
      <w:rPr>
        <w:rtl/>
      </w:rPr>
      <w:t xml:space="preserve">: نبذة عن </w:t>
    </w:r>
    <w:proofErr w:type="spellStart"/>
    <w:r w:rsidRPr="005A16A2">
      <w:rPr>
        <w:rtl/>
      </w:rPr>
      <w:t>اسفير</w:t>
    </w:r>
    <w:proofErr w:type="spellEnd"/>
    <w:r w:rsidRPr="005A16A2">
      <w:rPr>
        <w:rStyle w:val="PageNumber"/>
        <w:rFonts w:ascii="Traditional Arabic" w:hAnsi="Traditional Arabic"/>
      </w:rPr>
      <w:tab/>
    </w:r>
    <w:r w:rsidR="00D77B73">
      <w:rPr>
        <w:rStyle w:val="PageNumber"/>
        <w:rFonts w:ascii="Traditional Arabic" w:hAnsi="Traditional Arabic" w:hint="cs"/>
        <w:rtl/>
      </w:rPr>
      <w:t xml:space="preserve">مجموعة </w:t>
    </w:r>
    <w:proofErr w:type="spellStart"/>
    <w:r w:rsidR="00D77B73">
      <w:rPr>
        <w:rStyle w:val="PageNumber"/>
        <w:rFonts w:ascii="Traditional Arabic" w:hAnsi="Traditional Arabic" w:hint="cs"/>
        <w:rtl/>
      </w:rPr>
      <w:t>اسفير</w:t>
    </w:r>
    <w:proofErr w:type="spellEnd"/>
    <w:r w:rsidR="00D77B73">
      <w:rPr>
        <w:rStyle w:val="PageNumber"/>
        <w:rFonts w:ascii="Traditional Arabic" w:hAnsi="Traditional Arabic" w:hint="cs"/>
        <w:rtl/>
      </w:rPr>
      <w:t xml:space="preserve"> التدريبية</w:t>
    </w:r>
    <w:r w:rsidRPr="005A16A2">
      <w:rPr>
        <w:rStyle w:val="PageNumber"/>
        <w:rFonts w:ascii="Traditional Arabic" w:hAnsi="Traditional Arabic"/>
        <w:rtl/>
      </w:rPr>
      <w:t xml:space="preserv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31B5" w14:textId="61FF7286" w:rsidR="00E62B63" w:rsidRPr="00814FEC" w:rsidRDefault="00814FEC" w:rsidP="00352B8F">
    <w:pPr>
      <w:pStyle w:val="Footer"/>
    </w:pPr>
    <w:r w:rsidRPr="005A16A2">
      <w:rPr>
        <w:rtl/>
      </w:rPr>
      <w:t>الجز</w:t>
    </w:r>
    <w:r w:rsidRPr="005A16A2">
      <w:rPr>
        <w:rFonts w:hint="cs"/>
        <w:rtl/>
      </w:rPr>
      <w:t>ء</w:t>
    </w:r>
    <w:r w:rsidRPr="005A16A2">
      <w:rPr>
        <w:rtl/>
      </w:rPr>
      <w:t xml:space="preserve"> "أ"</w:t>
    </w:r>
    <w:r w:rsidR="00352B8F">
      <w:rPr>
        <w:rFonts w:hint="cs"/>
        <w:rtl/>
      </w:rPr>
      <w:t xml:space="preserve"> 1</w:t>
    </w:r>
    <w:r w:rsidRPr="005A16A2">
      <w:rPr>
        <w:rtl/>
      </w:rPr>
      <w:t xml:space="preserve">: نبذة عن </w:t>
    </w:r>
    <w:proofErr w:type="spellStart"/>
    <w:r w:rsidRPr="005A16A2">
      <w:rPr>
        <w:rtl/>
      </w:rPr>
      <w:t>اسفير</w:t>
    </w:r>
    <w:proofErr w:type="spellEnd"/>
    <w:r w:rsidRPr="005A16A2">
      <w:rPr>
        <w:rStyle w:val="PageNumber"/>
        <w:rFonts w:ascii="Traditional Arabic" w:hAnsi="Traditional Arabic"/>
      </w:rPr>
      <w:tab/>
    </w:r>
    <w:r w:rsidR="00352B8F">
      <w:rPr>
        <w:rStyle w:val="PageNumber"/>
        <w:rFonts w:ascii="Traditional Arabic" w:hAnsi="Traditional Arabic" w:hint="cs"/>
        <w:rtl/>
      </w:rPr>
      <w:t xml:space="preserve">مجموعة </w:t>
    </w:r>
    <w:proofErr w:type="spellStart"/>
    <w:r w:rsidR="00352B8F">
      <w:rPr>
        <w:rStyle w:val="PageNumber"/>
        <w:rFonts w:ascii="Traditional Arabic" w:hAnsi="Traditional Arabic" w:hint="cs"/>
        <w:rtl/>
      </w:rPr>
      <w:t>اسفير</w:t>
    </w:r>
    <w:proofErr w:type="spellEnd"/>
    <w:r w:rsidR="00352B8F">
      <w:rPr>
        <w:rStyle w:val="PageNumber"/>
        <w:rFonts w:ascii="Traditional Arabic" w:hAnsi="Traditional Arabic" w:hint="cs"/>
        <w:rtl/>
      </w:rPr>
      <w:t xml:space="preserve"> التدريبية</w:t>
    </w:r>
    <w:r w:rsidRPr="005A16A2">
      <w:rPr>
        <w:rStyle w:val="PageNumber"/>
        <w:rFonts w:ascii="Traditional Arabic" w:hAnsi="Traditional Arabic"/>
        <w:rtl/>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5372F" w14:textId="77777777" w:rsidR="00664D23" w:rsidRDefault="00664D23" w:rsidP="002848CC">
      <w:pPr>
        <w:spacing w:before="0"/>
      </w:pPr>
      <w:r>
        <w:separator/>
      </w:r>
    </w:p>
  </w:footnote>
  <w:footnote w:type="continuationSeparator" w:id="0">
    <w:p w14:paraId="0C3D1FA0" w14:textId="77777777" w:rsidR="00664D23" w:rsidRDefault="00664D23"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5F59F794" w:rsidR="00E62B63" w:rsidRPr="004F1D9A" w:rsidRDefault="00E62B63" w:rsidP="00F64AB0">
    <w:pPr>
      <w:pStyle w:val="Header"/>
    </w:pPr>
    <w:proofErr w:type="spellStart"/>
    <w:r w:rsidRPr="007A7ACB">
      <w:t>Handouts</w:t>
    </w:r>
    <w:proofErr w:type="spellEnd"/>
    <w:r>
      <w:tab/>
    </w:r>
    <w:r w:rsidRPr="003E013F">
      <w:rPr>
        <w:noProof/>
        <w:lang w:eastAsia="fr-FR" w:bidi="ar-SA"/>
      </w:rPr>
      <w:drawing>
        <wp:inline distT="0" distB="0" distL="0" distR="0" wp14:anchorId="4A424C73" wp14:editId="6C7BAAF2">
          <wp:extent cx="1859799" cy="381992"/>
          <wp:effectExtent l="0" t="0" r="0" b="0"/>
          <wp:docPr id="3" name="Picture 3"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4DDC6344" w:rsidR="00E62B63" w:rsidRPr="00D77B73" w:rsidRDefault="00D77B73" w:rsidP="00D77B73">
    <w:pPr>
      <w:pStyle w:val="Header"/>
      <w:jc w:val="right"/>
      <w:rPr>
        <w:sz w:val="32"/>
        <w:szCs w:val="32"/>
      </w:rPr>
    </w:pPr>
    <w:proofErr w:type="gramStart"/>
    <w:r w:rsidRPr="00D77B73">
      <w:rPr>
        <w:sz w:val="32"/>
        <w:szCs w:val="32"/>
        <w:rtl/>
      </w:rPr>
      <w:t>الم</w:t>
    </w:r>
    <w:r w:rsidRPr="00D77B73">
      <w:rPr>
        <w:rFonts w:hint="cs"/>
        <w:sz w:val="32"/>
        <w:szCs w:val="32"/>
        <w:rtl/>
      </w:rPr>
      <w:t>واد</w:t>
    </w:r>
    <w:proofErr w:type="gramEnd"/>
    <w:r w:rsidRPr="00D77B73">
      <w:rPr>
        <w:sz w:val="32"/>
        <w:szCs w:val="32"/>
        <w:rtl/>
      </w:rPr>
      <w:t xml:space="preserve">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00D55" w14:textId="4C31516F" w:rsidR="00E62B63" w:rsidRPr="005A16A2" w:rsidRDefault="00814FEC" w:rsidP="004E193C">
    <w:pPr>
      <w:pStyle w:val="Heading1"/>
      <w:rPr>
        <w:color w:val="579305" w:themeColor="accent1"/>
      </w:rPr>
    </w:pPr>
    <w:r w:rsidRPr="005A16A2">
      <w:rPr>
        <w:rFonts w:hint="cs"/>
        <w:rtl/>
      </w:rPr>
      <w:t>الجزء</w:t>
    </w:r>
    <w:r w:rsidRPr="005A16A2">
      <w:rPr>
        <w:rtl/>
      </w:rPr>
      <w:t xml:space="preserve"> "أ"</w:t>
    </w:r>
    <w:r w:rsidR="00D16636">
      <w:rPr>
        <w:rFonts w:hint="cs"/>
        <w:rtl/>
      </w:rPr>
      <w:t xml:space="preserve"> 1</w:t>
    </w:r>
    <w:r w:rsidRPr="005A16A2">
      <w:rPr>
        <w:rtl/>
      </w:rPr>
      <w:t xml:space="preserve">: نبذة عن </w:t>
    </w:r>
    <w:proofErr w:type="spellStart"/>
    <w:r w:rsidRPr="005A16A2">
      <w:rPr>
        <w:rtl/>
      </w:rPr>
      <w:t>اسفير</w:t>
    </w:r>
    <w:proofErr w:type="spellEnd"/>
    <w:r w:rsidR="00E62B63" w:rsidRPr="005A16A2">
      <w:tab/>
    </w:r>
    <w:r w:rsidRPr="005A16A2">
      <w:rPr>
        <w:color w:val="579305" w:themeColor="accent1"/>
        <w:rtl/>
      </w:rPr>
      <w:t>الم</w:t>
    </w:r>
    <w:r w:rsidR="004E193C">
      <w:rPr>
        <w:rFonts w:hint="cs"/>
        <w:color w:val="579305" w:themeColor="accent1"/>
        <w:rtl/>
      </w:rPr>
      <w:t>واد</w:t>
    </w:r>
    <w:r w:rsidRPr="005A16A2">
      <w:rPr>
        <w:color w:val="579305" w:themeColor="accent1"/>
        <w:rtl/>
      </w:rPr>
      <w:t xml:space="preserve"> التدريبية</w:t>
    </w:r>
  </w:p>
  <w:p w14:paraId="3E1679D9" w14:textId="36E4F193" w:rsidR="00E62B63" w:rsidRPr="00792B8B" w:rsidRDefault="00BF6818" w:rsidP="005A16A2">
    <w:pPr>
      <w:pStyle w:val="Heading2"/>
      <w:rPr>
        <w:lang w:bidi="ar-TN"/>
      </w:rPr>
    </w:pPr>
    <w:r w:rsidRPr="00BF6818">
      <w:rPr>
        <w:rtl/>
        <w:lang w:bidi="ar-TN"/>
      </w:rPr>
      <w:t xml:space="preserve">ما هو </w:t>
    </w:r>
    <w:proofErr w:type="spellStart"/>
    <w:r w:rsidRPr="00BF6818">
      <w:rPr>
        <w:rtl/>
        <w:lang w:bidi="ar-TN"/>
      </w:rPr>
      <w:t>اسفير</w:t>
    </w:r>
    <w:proofErr w:type="spellEnd"/>
    <w:r w:rsidRPr="00BF6818">
      <w:rPr>
        <w:rtl/>
        <w:lang w:bidi="ar-T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019C8"/>
    <w:multiLevelType w:val="hybridMultilevel"/>
    <w:tmpl w:val="F886D154"/>
    <w:lvl w:ilvl="0" w:tplc="28F82D38">
      <w:start w:val="1"/>
      <w:numFmt w:val="bullet"/>
      <w:pStyle w:val="tablesubbullet"/>
      <w:lvlText w:val="–"/>
      <w:lvlJc w:val="left"/>
      <w:pPr>
        <w:ind w:left="36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5">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D7DD3"/>
    <w:multiLevelType w:val="hybridMultilevel"/>
    <w:tmpl w:val="5E4C192E"/>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5672F"/>
    <w:multiLevelType w:val="hybridMultilevel"/>
    <w:tmpl w:val="7EFABE60"/>
    <w:lvl w:ilvl="0" w:tplc="A9F6C8A2">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4"/>
  </w:num>
  <w:num w:numId="4">
    <w:abstractNumId w:val="4"/>
  </w:num>
  <w:num w:numId="5">
    <w:abstractNumId w:val="4"/>
  </w:num>
  <w:num w:numId="6">
    <w:abstractNumId w:val="4"/>
  </w:num>
  <w:num w:numId="7">
    <w:abstractNumId w:val="1"/>
  </w:num>
  <w:num w:numId="8">
    <w:abstractNumId w:val="13"/>
  </w:num>
  <w:num w:numId="9">
    <w:abstractNumId w:val="8"/>
  </w:num>
  <w:num w:numId="10">
    <w:abstractNumId w:val="11"/>
  </w:num>
  <w:num w:numId="11">
    <w:abstractNumId w:val="5"/>
  </w:num>
  <w:num w:numId="12">
    <w:abstractNumId w:val="10"/>
  </w:num>
  <w:num w:numId="13">
    <w:abstractNumId w:val="9"/>
  </w:num>
  <w:num w:numId="14">
    <w:abstractNumId w:val="6"/>
  </w:num>
  <w:num w:numId="15">
    <w:abstractNumId w:val="7"/>
  </w:num>
  <w:num w:numId="16">
    <w:abstractNumId w:val="6"/>
  </w:num>
  <w:num w:numId="17">
    <w:abstractNumId w:val="7"/>
  </w:num>
  <w:num w:numId="18">
    <w:abstractNumId w:val="12"/>
  </w:num>
  <w:num w:numId="19">
    <w:abstractNumId w:val="2"/>
  </w:num>
  <w:num w:numId="20">
    <w:abstractNumId w:val="0"/>
  </w:num>
  <w:num w:numId="21">
    <w:abstractNumId w:val="3"/>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066B6"/>
    <w:rsid w:val="00083864"/>
    <w:rsid w:val="0013229F"/>
    <w:rsid w:val="00144112"/>
    <w:rsid w:val="0015588F"/>
    <w:rsid w:val="00164B4E"/>
    <w:rsid w:val="001713BA"/>
    <w:rsid w:val="001737A1"/>
    <w:rsid w:val="001740C0"/>
    <w:rsid w:val="00174580"/>
    <w:rsid w:val="00175CA3"/>
    <w:rsid w:val="00181EF3"/>
    <w:rsid w:val="001869EC"/>
    <w:rsid w:val="001B1450"/>
    <w:rsid w:val="001B20A8"/>
    <w:rsid w:val="001C7F2F"/>
    <w:rsid w:val="001D0724"/>
    <w:rsid w:val="001D7A65"/>
    <w:rsid w:val="001E1BE3"/>
    <w:rsid w:val="001F455D"/>
    <w:rsid w:val="001F7F75"/>
    <w:rsid w:val="00200D4D"/>
    <w:rsid w:val="00205074"/>
    <w:rsid w:val="002058A4"/>
    <w:rsid w:val="002201FF"/>
    <w:rsid w:val="00237D09"/>
    <w:rsid w:val="00241992"/>
    <w:rsid w:val="00274BC6"/>
    <w:rsid w:val="002832EC"/>
    <w:rsid w:val="002848CC"/>
    <w:rsid w:val="002933E5"/>
    <w:rsid w:val="002958E2"/>
    <w:rsid w:val="002B594A"/>
    <w:rsid w:val="002D3B86"/>
    <w:rsid w:val="002F2B87"/>
    <w:rsid w:val="0030064E"/>
    <w:rsid w:val="00314ADC"/>
    <w:rsid w:val="00315E11"/>
    <w:rsid w:val="00320FF9"/>
    <w:rsid w:val="00352B8F"/>
    <w:rsid w:val="00370153"/>
    <w:rsid w:val="003841BB"/>
    <w:rsid w:val="003918D7"/>
    <w:rsid w:val="003A4483"/>
    <w:rsid w:val="003C469E"/>
    <w:rsid w:val="003C5331"/>
    <w:rsid w:val="003E013F"/>
    <w:rsid w:val="003E2279"/>
    <w:rsid w:val="003E2DB9"/>
    <w:rsid w:val="003F0EB3"/>
    <w:rsid w:val="00411865"/>
    <w:rsid w:val="004231C3"/>
    <w:rsid w:val="0043797B"/>
    <w:rsid w:val="00442E6F"/>
    <w:rsid w:val="0045590B"/>
    <w:rsid w:val="00463DB5"/>
    <w:rsid w:val="004958E7"/>
    <w:rsid w:val="004A0880"/>
    <w:rsid w:val="004A0CA1"/>
    <w:rsid w:val="004D0C51"/>
    <w:rsid w:val="004D7062"/>
    <w:rsid w:val="004E193C"/>
    <w:rsid w:val="004F1D9A"/>
    <w:rsid w:val="0050225B"/>
    <w:rsid w:val="0054109C"/>
    <w:rsid w:val="00564764"/>
    <w:rsid w:val="005751FD"/>
    <w:rsid w:val="005848E9"/>
    <w:rsid w:val="005A16A2"/>
    <w:rsid w:val="005F6AEE"/>
    <w:rsid w:val="00601FF7"/>
    <w:rsid w:val="00620E7C"/>
    <w:rsid w:val="0063519D"/>
    <w:rsid w:val="00637110"/>
    <w:rsid w:val="0064128E"/>
    <w:rsid w:val="00664D23"/>
    <w:rsid w:val="00690F64"/>
    <w:rsid w:val="006C099B"/>
    <w:rsid w:val="006D149B"/>
    <w:rsid w:val="006E518B"/>
    <w:rsid w:val="006E74C4"/>
    <w:rsid w:val="00700071"/>
    <w:rsid w:val="007030AE"/>
    <w:rsid w:val="00711307"/>
    <w:rsid w:val="00712C6C"/>
    <w:rsid w:val="00714CE1"/>
    <w:rsid w:val="00715CA8"/>
    <w:rsid w:val="00731755"/>
    <w:rsid w:val="007577CE"/>
    <w:rsid w:val="00761400"/>
    <w:rsid w:val="00775878"/>
    <w:rsid w:val="00781146"/>
    <w:rsid w:val="0078233F"/>
    <w:rsid w:val="00792B8B"/>
    <w:rsid w:val="007A255B"/>
    <w:rsid w:val="007A4412"/>
    <w:rsid w:val="007A7ACB"/>
    <w:rsid w:val="007B3E00"/>
    <w:rsid w:val="007D1429"/>
    <w:rsid w:val="007E38AA"/>
    <w:rsid w:val="007E479A"/>
    <w:rsid w:val="00810AFF"/>
    <w:rsid w:val="00811B63"/>
    <w:rsid w:val="00814FEC"/>
    <w:rsid w:val="00816A31"/>
    <w:rsid w:val="008209C5"/>
    <w:rsid w:val="00825D04"/>
    <w:rsid w:val="008260A5"/>
    <w:rsid w:val="008647F3"/>
    <w:rsid w:val="008652CA"/>
    <w:rsid w:val="0087787A"/>
    <w:rsid w:val="00891199"/>
    <w:rsid w:val="008A5A6F"/>
    <w:rsid w:val="008B4444"/>
    <w:rsid w:val="008B7D3C"/>
    <w:rsid w:val="008D7E08"/>
    <w:rsid w:val="008F7696"/>
    <w:rsid w:val="008F7DE8"/>
    <w:rsid w:val="0090172B"/>
    <w:rsid w:val="0090692F"/>
    <w:rsid w:val="00925784"/>
    <w:rsid w:val="00937519"/>
    <w:rsid w:val="009516C3"/>
    <w:rsid w:val="00971AD2"/>
    <w:rsid w:val="00981544"/>
    <w:rsid w:val="0098193F"/>
    <w:rsid w:val="00995549"/>
    <w:rsid w:val="009C37A9"/>
    <w:rsid w:val="009C6C4F"/>
    <w:rsid w:val="009D6A86"/>
    <w:rsid w:val="009D7027"/>
    <w:rsid w:val="009E270C"/>
    <w:rsid w:val="00A06642"/>
    <w:rsid w:val="00A362E5"/>
    <w:rsid w:val="00A46634"/>
    <w:rsid w:val="00A80DF5"/>
    <w:rsid w:val="00A93E89"/>
    <w:rsid w:val="00A95124"/>
    <w:rsid w:val="00AB088B"/>
    <w:rsid w:val="00AD30D2"/>
    <w:rsid w:val="00AD39F0"/>
    <w:rsid w:val="00AF36C0"/>
    <w:rsid w:val="00B40995"/>
    <w:rsid w:val="00B572C2"/>
    <w:rsid w:val="00B70E34"/>
    <w:rsid w:val="00B91AAC"/>
    <w:rsid w:val="00BE3D5B"/>
    <w:rsid w:val="00BF6818"/>
    <w:rsid w:val="00C0309C"/>
    <w:rsid w:val="00C16BD2"/>
    <w:rsid w:val="00C32D00"/>
    <w:rsid w:val="00C35B0F"/>
    <w:rsid w:val="00C507F3"/>
    <w:rsid w:val="00C62DEB"/>
    <w:rsid w:val="00CA2761"/>
    <w:rsid w:val="00CB3E59"/>
    <w:rsid w:val="00D064C5"/>
    <w:rsid w:val="00D16636"/>
    <w:rsid w:val="00D221A6"/>
    <w:rsid w:val="00D34FFC"/>
    <w:rsid w:val="00D4042F"/>
    <w:rsid w:val="00D54219"/>
    <w:rsid w:val="00D77B73"/>
    <w:rsid w:val="00D90736"/>
    <w:rsid w:val="00DB7665"/>
    <w:rsid w:val="00DD0F73"/>
    <w:rsid w:val="00DE202F"/>
    <w:rsid w:val="00DE210D"/>
    <w:rsid w:val="00DE21D3"/>
    <w:rsid w:val="00DE79E7"/>
    <w:rsid w:val="00DF15BD"/>
    <w:rsid w:val="00DF2534"/>
    <w:rsid w:val="00E15219"/>
    <w:rsid w:val="00E2620E"/>
    <w:rsid w:val="00E26D30"/>
    <w:rsid w:val="00E3678C"/>
    <w:rsid w:val="00E62B63"/>
    <w:rsid w:val="00E71C66"/>
    <w:rsid w:val="00E8474E"/>
    <w:rsid w:val="00E87347"/>
    <w:rsid w:val="00EA1F0B"/>
    <w:rsid w:val="00EB14C9"/>
    <w:rsid w:val="00ED2286"/>
    <w:rsid w:val="00EE535D"/>
    <w:rsid w:val="00EF2A9D"/>
    <w:rsid w:val="00F25952"/>
    <w:rsid w:val="00F46955"/>
    <w:rsid w:val="00F51600"/>
    <w:rsid w:val="00F52152"/>
    <w:rsid w:val="00F64AB0"/>
    <w:rsid w:val="00F66ABC"/>
    <w:rsid w:val="00F67F82"/>
    <w:rsid w:val="00F87094"/>
    <w:rsid w:val="00F97BB3"/>
    <w:rsid w:val="00FA7F78"/>
    <w:rsid w:val="00FB4BFD"/>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aditional Arabic" w:eastAsia="Times New Roman" w:hAnsi="Traditional Arabic" w:cs="Traditional Arabic"/>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8D7E08"/>
    <w:pPr>
      <w:bidi/>
      <w:spacing w:before="80" w:line="192" w:lineRule="auto"/>
    </w:pPr>
  </w:style>
  <w:style w:type="paragraph" w:styleId="Heading1">
    <w:name w:val="heading 1"/>
    <w:aliases w:val="h1"/>
    <w:basedOn w:val="Normal"/>
    <w:next w:val="Normal"/>
    <w:link w:val="Heading1Char"/>
    <w:qFormat/>
    <w:rsid w:val="005A16A2"/>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5A16A2"/>
    <w:pPr>
      <w:pBdr>
        <w:bottom w:val="single" w:sz="4" w:space="4" w:color="004386" w:themeColor="text2"/>
      </w:pBdr>
      <w:spacing w:before="80"/>
      <w:outlineLvl w:val="1"/>
    </w:pPr>
    <w:rPr>
      <w:i/>
      <w:iCs/>
      <w:color w:val="004386" w:themeColor="text2"/>
    </w:rPr>
  </w:style>
  <w:style w:type="paragraph" w:styleId="Heading3">
    <w:name w:val="heading 3"/>
    <w:aliases w:val="h3"/>
    <w:basedOn w:val="Heading2"/>
    <w:next w:val="Normal"/>
    <w:link w:val="Heading3Char"/>
    <w:qFormat/>
    <w:rsid w:val="005A16A2"/>
    <w:pPr>
      <w:pBdr>
        <w:bottom w:val="none" w:sz="0" w:space="0" w:color="auto"/>
      </w:pBdr>
      <w:spacing w:before="240"/>
      <w:outlineLvl w:val="2"/>
    </w:pPr>
    <w:rPr>
      <w:i w:val="0"/>
      <w:iCs w:val="0"/>
      <w:sz w:val="28"/>
      <w:szCs w:val="28"/>
    </w:rPr>
  </w:style>
  <w:style w:type="paragraph" w:styleId="Heading4">
    <w:name w:val="heading 4"/>
    <w:aliases w:val="h4"/>
    <w:basedOn w:val="Heading3"/>
    <w:next w:val="Normal"/>
    <w:link w:val="Heading4Char"/>
    <w:qFormat/>
    <w:rsid w:val="005A16A2"/>
    <w:pPr>
      <w:keepLines/>
      <w:spacing w:after="80"/>
      <w:outlineLvl w:val="3"/>
    </w:pPr>
    <w:rPr>
      <w:rFonts w:eastAsia="Traditional Arabic"/>
    </w:rPr>
  </w:style>
  <w:style w:type="paragraph" w:styleId="Heading5">
    <w:name w:val="heading 5"/>
    <w:basedOn w:val="Normal"/>
    <w:next w:val="Normal"/>
    <w:link w:val="Heading5Char"/>
    <w:qFormat/>
    <w:rsid w:val="005A16A2"/>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A16A2"/>
    <w:rPr>
      <w:rFonts w:ascii="Traditional Arabic" w:eastAsiaTheme="majorEastAsia" w:hAnsi="Traditional Arabic" w:cs="Traditional Arabic"/>
      <w:b/>
      <w:bCs/>
      <w:noProof/>
      <w:color w:val="004386"/>
      <w:kern w:val="32"/>
      <w:sz w:val="32"/>
      <w:szCs w:val="32"/>
      <w:lang w:val="en-GB" w:eastAsia="es-ES"/>
    </w:rPr>
  </w:style>
  <w:style w:type="character" w:customStyle="1" w:styleId="Heading2Char">
    <w:name w:val="Heading 2 Char"/>
    <w:aliases w:val="h2 Char"/>
    <w:basedOn w:val="DefaultParagraphFont"/>
    <w:link w:val="Heading2"/>
    <w:rsid w:val="005A16A2"/>
    <w:rPr>
      <w:rFonts w:ascii="Traditional Arabic" w:eastAsiaTheme="majorEastAsia" w:hAnsi="Traditional Arabic" w:cs="Traditional Arabic"/>
      <w:b/>
      <w:bCs/>
      <w:i/>
      <w:iCs/>
      <w:noProof/>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5A16A2"/>
    <w:rPr>
      <w:rFonts w:ascii="Traditional Arabic" w:eastAsiaTheme="majorEastAsia" w:hAnsi="Traditional Arabic" w:cs="Traditional Arabic"/>
      <w:b/>
      <w:bCs/>
      <w:noProof/>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F64AB0"/>
    <w:rPr>
      <w:rFonts w:eastAsia="Traditional Arabic"/>
      <w:b/>
      <w:bCs/>
      <w:color w:val="004386" w:themeColor="text2"/>
      <w:kern w:val="32"/>
      <w:sz w:val="28"/>
      <w:szCs w:val="28"/>
    </w:rPr>
  </w:style>
  <w:style w:type="character" w:customStyle="1" w:styleId="Heading5Char">
    <w:name w:val="Heading 5 Char"/>
    <w:basedOn w:val="DefaultParagraphFont"/>
    <w:link w:val="Heading5"/>
    <w:rsid w:val="005A16A2"/>
    <w:rPr>
      <w:rFonts w:ascii="Traditional Arabic" w:hAnsi="Traditional Arabic" w:cs="Traditional Arabic"/>
      <w:b/>
      <w:iCs/>
      <w:noProof/>
      <w:sz w:val="24"/>
      <w:szCs w:val="24"/>
      <w:lang w:val="en-GB" w:eastAsia="es-ES"/>
    </w:rPr>
  </w:style>
  <w:style w:type="paragraph" w:styleId="Caption">
    <w:name w:val="caption"/>
    <w:basedOn w:val="Normal"/>
    <w:next w:val="Normal"/>
    <w:uiPriority w:val="35"/>
    <w:unhideWhenUsed/>
    <w:qFormat/>
    <w:rsid w:val="005A16A2"/>
    <w:pPr>
      <w:spacing w:before="0" w:after="200"/>
    </w:pPr>
    <w:rPr>
      <w:rFonts w:eastAsiaTheme="minorHAnsi" w:cstheme="minorBidi"/>
      <w:b/>
      <w:color w:val="579305" w:themeColor="accent1"/>
      <w:sz w:val="18"/>
      <w:szCs w:val="18"/>
    </w:rPr>
  </w:style>
  <w:style w:type="character" w:styleId="Emphasis">
    <w:name w:val="Emphasis"/>
    <w:qFormat/>
    <w:rsid w:val="005A16A2"/>
    <w:rPr>
      <w:b/>
      <w:i w:val="0"/>
      <w:iCs/>
    </w:rPr>
  </w:style>
  <w:style w:type="table" w:styleId="TableGrid">
    <w:name w:val="Table Grid"/>
    <w:basedOn w:val="TableNormal"/>
    <w:uiPriority w:val="59"/>
    <w:rsid w:val="005A16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16A2"/>
    <w:rPr>
      <w:rFonts w:ascii="Tahoma" w:hAnsi="Tahoma" w:cs="Traditional Arabic"/>
      <w:b w:val="0"/>
      <w:i w:val="0"/>
      <w:noProof/>
      <w:color w:val="004386"/>
      <w:sz w:val="24"/>
      <w:szCs w:val="24"/>
      <w:u w:val="single"/>
      <w:lang w:val="en-GB"/>
    </w:rPr>
  </w:style>
  <w:style w:type="paragraph" w:styleId="BalloonText">
    <w:name w:val="Balloon Text"/>
    <w:basedOn w:val="Normal"/>
    <w:link w:val="BalloonTextChar"/>
    <w:uiPriority w:val="99"/>
    <w:semiHidden/>
    <w:unhideWhenUsed/>
    <w:rsid w:val="005A16A2"/>
    <w:pPr>
      <w:spacing w:before="0"/>
    </w:pPr>
    <w:rPr>
      <w:rFonts w:cs="Tahoma"/>
      <w:sz w:val="16"/>
      <w:szCs w:val="16"/>
    </w:rPr>
  </w:style>
  <w:style w:type="character" w:customStyle="1" w:styleId="BalloonTextChar">
    <w:name w:val="Balloon Text Char"/>
    <w:basedOn w:val="DefaultParagraphFont"/>
    <w:link w:val="BalloonText"/>
    <w:uiPriority w:val="99"/>
    <w:semiHidden/>
    <w:rsid w:val="005A16A2"/>
    <w:rPr>
      <w:rFonts w:ascii="Traditional Arabic" w:hAnsi="Traditional Arabic" w:cs="Tahoma"/>
      <w:noProof/>
      <w:sz w:val="16"/>
      <w:szCs w:val="16"/>
      <w:lang w:val="en-GB" w:eastAsia="es-ES"/>
    </w:rPr>
  </w:style>
  <w:style w:type="paragraph" w:customStyle="1" w:styleId="table">
    <w:name w:val="table"/>
    <w:aliases w:val="t"/>
    <w:basedOn w:val="Normal"/>
    <w:qFormat/>
    <w:rsid w:val="005A16A2"/>
    <w:pPr>
      <w:spacing w:before="40" w:after="40"/>
    </w:pPr>
  </w:style>
  <w:style w:type="paragraph" w:customStyle="1" w:styleId="tableheading">
    <w:name w:val="table heading"/>
    <w:aliases w:val="th"/>
    <w:basedOn w:val="table"/>
    <w:qFormat/>
    <w:rsid w:val="005A16A2"/>
    <w:pPr>
      <w:keepNext/>
    </w:pPr>
    <w:rPr>
      <w:b/>
      <w:bCs/>
      <w:color w:val="004386" w:themeColor="text2"/>
    </w:rPr>
  </w:style>
  <w:style w:type="paragraph" w:customStyle="1" w:styleId="bullet">
    <w:name w:val="bullet"/>
    <w:aliases w:val="b"/>
    <w:basedOn w:val="Normal"/>
    <w:qFormat/>
    <w:rsid w:val="0078233F"/>
    <w:pPr>
      <w:numPr>
        <w:numId w:val="37"/>
      </w:numPr>
      <w:ind w:left="284" w:hanging="284"/>
    </w:pPr>
  </w:style>
  <w:style w:type="paragraph" w:customStyle="1" w:styleId="tablebullet">
    <w:name w:val="table bullet"/>
    <w:basedOn w:val="table"/>
    <w:qFormat/>
    <w:rsid w:val="00320FF9"/>
    <w:pPr>
      <w:numPr>
        <w:numId w:val="38"/>
      </w:numPr>
      <w:ind w:left="284" w:hanging="284"/>
    </w:pPr>
  </w:style>
  <w:style w:type="paragraph" w:styleId="Header">
    <w:name w:val="header"/>
    <w:basedOn w:val="Normal"/>
    <w:link w:val="HeaderChar"/>
    <w:rsid w:val="00F64AB0"/>
    <w:pPr>
      <w:pBdr>
        <w:bottom w:val="single" w:sz="4" w:space="4" w:color="004386" w:themeColor="text2"/>
      </w:pBdr>
      <w:tabs>
        <w:tab w:val="center" w:pos="4320"/>
        <w:tab w:val="right" w:pos="8640"/>
      </w:tabs>
      <w:spacing w:before="0"/>
    </w:pPr>
    <w:rPr>
      <w:b/>
      <w:bCs/>
      <w:color w:val="579305" w:themeColor="accent1"/>
      <w:sz w:val="28"/>
      <w:szCs w:val="28"/>
      <w:lang w:bidi="ar-TN"/>
    </w:rPr>
  </w:style>
  <w:style w:type="character" w:customStyle="1" w:styleId="HeaderChar">
    <w:name w:val="Header Char"/>
    <w:basedOn w:val="DefaultParagraphFont"/>
    <w:link w:val="Header"/>
    <w:rsid w:val="00F64AB0"/>
    <w:rPr>
      <w:b/>
      <w:bCs/>
      <w:color w:val="579305" w:themeColor="accent1"/>
      <w:sz w:val="28"/>
      <w:szCs w:val="28"/>
      <w:lang w:bidi="ar-TN"/>
    </w:rPr>
  </w:style>
  <w:style w:type="paragraph" w:styleId="Footer">
    <w:name w:val="footer"/>
    <w:basedOn w:val="Normal"/>
    <w:link w:val="FooterChar"/>
    <w:rsid w:val="005A16A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F64AB0"/>
    <w:rPr>
      <w:color w:val="004386" w:themeColor="text2"/>
    </w:rPr>
  </w:style>
  <w:style w:type="character" w:styleId="PageNumber">
    <w:name w:val="page number"/>
    <w:basedOn w:val="DefaultParagraphFont"/>
    <w:uiPriority w:val="99"/>
    <w:semiHidden/>
    <w:unhideWhenUsed/>
    <w:rsid w:val="005A16A2"/>
    <w:rPr>
      <w:rFonts w:asciiTheme="minorHAnsi" w:hAnsiTheme="minorHAnsi"/>
    </w:rPr>
  </w:style>
  <w:style w:type="character" w:styleId="FollowedHyperlink">
    <w:name w:val="FollowedHyperlink"/>
    <w:basedOn w:val="DefaultParagraphFont"/>
    <w:uiPriority w:val="99"/>
    <w:semiHidden/>
    <w:unhideWhenUsed/>
    <w:rsid w:val="005A16A2"/>
    <w:rPr>
      <w:color w:val="004386"/>
      <w:u w:val="single"/>
    </w:rPr>
  </w:style>
  <w:style w:type="paragraph" w:customStyle="1" w:styleId="subbullet">
    <w:name w:val="sub bullet"/>
    <w:aliases w:val="s"/>
    <w:basedOn w:val="Normal"/>
    <w:qFormat/>
    <w:rsid w:val="00DE202F"/>
    <w:pPr>
      <w:numPr>
        <w:numId w:val="19"/>
      </w:numPr>
      <w:ind w:left="568"/>
    </w:pPr>
  </w:style>
  <w:style w:type="paragraph" w:customStyle="1" w:styleId="tablesubbullet">
    <w:name w:val="table sub bullet"/>
    <w:basedOn w:val="tablebullet"/>
    <w:qFormat/>
    <w:rsid w:val="000066B6"/>
    <w:pPr>
      <w:keepLines/>
      <w:numPr>
        <w:numId w:val="21"/>
      </w:numPr>
      <w:tabs>
        <w:tab w:val="left" w:pos="284"/>
      </w:tabs>
      <w:ind w:left="454" w:hanging="227"/>
    </w:pPr>
  </w:style>
  <w:style w:type="character" w:styleId="CommentReference">
    <w:name w:val="annotation reference"/>
    <w:basedOn w:val="DefaultParagraphFont"/>
    <w:uiPriority w:val="99"/>
    <w:semiHidden/>
    <w:unhideWhenUsed/>
    <w:rsid w:val="005A16A2"/>
    <w:rPr>
      <w:sz w:val="16"/>
      <w:szCs w:val="16"/>
    </w:rPr>
  </w:style>
  <w:style w:type="paragraph" w:styleId="CommentText">
    <w:name w:val="annotation text"/>
    <w:basedOn w:val="Normal"/>
    <w:link w:val="CommentTextChar"/>
    <w:uiPriority w:val="99"/>
    <w:semiHidden/>
    <w:unhideWhenUsed/>
    <w:rsid w:val="005A16A2"/>
    <w:rPr>
      <w:szCs w:val="20"/>
    </w:rPr>
  </w:style>
  <w:style w:type="character" w:customStyle="1" w:styleId="CommentTextChar">
    <w:name w:val="Comment Text Char"/>
    <w:basedOn w:val="DefaultParagraphFont"/>
    <w:link w:val="CommentText"/>
    <w:uiPriority w:val="99"/>
    <w:semiHidden/>
    <w:rsid w:val="005A16A2"/>
    <w:rPr>
      <w:rFonts w:ascii="Traditional Arabic" w:hAnsi="Traditional Arabic" w:cs="Traditional Arabic"/>
      <w:noProof/>
      <w:sz w:val="24"/>
      <w:lang w:val="en-GB" w:eastAsia="es-ES"/>
    </w:rPr>
  </w:style>
  <w:style w:type="paragraph" w:styleId="CommentSubject">
    <w:name w:val="annotation subject"/>
    <w:basedOn w:val="CommentText"/>
    <w:next w:val="CommentText"/>
    <w:link w:val="CommentSubjectChar"/>
    <w:uiPriority w:val="99"/>
    <w:semiHidden/>
    <w:unhideWhenUsed/>
    <w:rsid w:val="005A16A2"/>
    <w:rPr>
      <w:b/>
    </w:rPr>
  </w:style>
  <w:style w:type="character" w:customStyle="1" w:styleId="CommentSubjectChar">
    <w:name w:val="Comment Subject Char"/>
    <w:basedOn w:val="CommentTextChar"/>
    <w:link w:val="CommentSubject"/>
    <w:uiPriority w:val="99"/>
    <w:semiHidden/>
    <w:rsid w:val="005A16A2"/>
    <w:rPr>
      <w:rFonts w:ascii="Traditional Arabic" w:hAnsi="Traditional Arabic" w:cs="Traditional Arabic"/>
      <w:b/>
      <w:noProof/>
      <w:sz w:val="24"/>
      <w:lang w:val="en-GB" w:eastAsia="es-ES"/>
    </w:rPr>
  </w:style>
  <w:style w:type="paragraph" w:customStyle="1" w:styleId="Moduledescription">
    <w:name w:val="Module description"/>
    <w:basedOn w:val="Normal"/>
    <w:qFormat/>
    <w:rsid w:val="005A16A2"/>
    <w:rPr>
      <w:b/>
      <w:bCs/>
      <w:color w:val="57930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aditional Arabic" w:eastAsia="Times New Roman" w:hAnsi="Traditional Arabic" w:cs="Traditional Arabic"/>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8D7E08"/>
    <w:pPr>
      <w:bidi/>
      <w:spacing w:before="80" w:line="192" w:lineRule="auto"/>
    </w:pPr>
  </w:style>
  <w:style w:type="paragraph" w:styleId="Heading1">
    <w:name w:val="heading 1"/>
    <w:aliases w:val="h1"/>
    <w:basedOn w:val="Normal"/>
    <w:next w:val="Normal"/>
    <w:link w:val="Heading1Char"/>
    <w:qFormat/>
    <w:rsid w:val="005A16A2"/>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5A16A2"/>
    <w:pPr>
      <w:pBdr>
        <w:bottom w:val="single" w:sz="4" w:space="4" w:color="004386" w:themeColor="text2"/>
      </w:pBdr>
      <w:spacing w:before="80"/>
      <w:outlineLvl w:val="1"/>
    </w:pPr>
    <w:rPr>
      <w:i/>
      <w:iCs/>
      <w:color w:val="004386" w:themeColor="text2"/>
    </w:rPr>
  </w:style>
  <w:style w:type="paragraph" w:styleId="Heading3">
    <w:name w:val="heading 3"/>
    <w:aliases w:val="h3"/>
    <w:basedOn w:val="Heading2"/>
    <w:next w:val="Normal"/>
    <w:link w:val="Heading3Char"/>
    <w:qFormat/>
    <w:rsid w:val="005A16A2"/>
    <w:pPr>
      <w:pBdr>
        <w:bottom w:val="none" w:sz="0" w:space="0" w:color="auto"/>
      </w:pBdr>
      <w:spacing w:before="240"/>
      <w:outlineLvl w:val="2"/>
    </w:pPr>
    <w:rPr>
      <w:i w:val="0"/>
      <w:iCs w:val="0"/>
      <w:sz w:val="28"/>
      <w:szCs w:val="28"/>
    </w:rPr>
  </w:style>
  <w:style w:type="paragraph" w:styleId="Heading4">
    <w:name w:val="heading 4"/>
    <w:aliases w:val="h4"/>
    <w:basedOn w:val="Heading3"/>
    <w:next w:val="Normal"/>
    <w:link w:val="Heading4Char"/>
    <w:qFormat/>
    <w:rsid w:val="005A16A2"/>
    <w:pPr>
      <w:keepLines/>
      <w:spacing w:after="80"/>
      <w:outlineLvl w:val="3"/>
    </w:pPr>
    <w:rPr>
      <w:rFonts w:eastAsia="Traditional Arabic"/>
    </w:rPr>
  </w:style>
  <w:style w:type="paragraph" w:styleId="Heading5">
    <w:name w:val="heading 5"/>
    <w:basedOn w:val="Normal"/>
    <w:next w:val="Normal"/>
    <w:link w:val="Heading5Char"/>
    <w:qFormat/>
    <w:rsid w:val="005A16A2"/>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A16A2"/>
    <w:rPr>
      <w:rFonts w:ascii="Traditional Arabic" w:eastAsiaTheme="majorEastAsia" w:hAnsi="Traditional Arabic" w:cs="Traditional Arabic"/>
      <w:b/>
      <w:bCs/>
      <w:noProof/>
      <w:color w:val="004386"/>
      <w:kern w:val="32"/>
      <w:sz w:val="32"/>
      <w:szCs w:val="32"/>
      <w:lang w:val="en-GB" w:eastAsia="es-ES"/>
    </w:rPr>
  </w:style>
  <w:style w:type="character" w:customStyle="1" w:styleId="Heading2Char">
    <w:name w:val="Heading 2 Char"/>
    <w:aliases w:val="h2 Char"/>
    <w:basedOn w:val="DefaultParagraphFont"/>
    <w:link w:val="Heading2"/>
    <w:rsid w:val="005A16A2"/>
    <w:rPr>
      <w:rFonts w:ascii="Traditional Arabic" w:eastAsiaTheme="majorEastAsia" w:hAnsi="Traditional Arabic" w:cs="Traditional Arabic"/>
      <w:b/>
      <w:bCs/>
      <w:i/>
      <w:iCs/>
      <w:noProof/>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5A16A2"/>
    <w:rPr>
      <w:rFonts w:ascii="Traditional Arabic" w:eastAsiaTheme="majorEastAsia" w:hAnsi="Traditional Arabic" w:cs="Traditional Arabic"/>
      <w:b/>
      <w:bCs/>
      <w:noProof/>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F64AB0"/>
    <w:rPr>
      <w:rFonts w:eastAsia="Traditional Arabic"/>
      <w:b/>
      <w:bCs/>
      <w:color w:val="004386" w:themeColor="text2"/>
      <w:kern w:val="32"/>
      <w:sz w:val="28"/>
      <w:szCs w:val="28"/>
    </w:rPr>
  </w:style>
  <w:style w:type="character" w:customStyle="1" w:styleId="Heading5Char">
    <w:name w:val="Heading 5 Char"/>
    <w:basedOn w:val="DefaultParagraphFont"/>
    <w:link w:val="Heading5"/>
    <w:rsid w:val="005A16A2"/>
    <w:rPr>
      <w:rFonts w:ascii="Traditional Arabic" w:hAnsi="Traditional Arabic" w:cs="Traditional Arabic"/>
      <w:b/>
      <w:iCs/>
      <w:noProof/>
      <w:sz w:val="24"/>
      <w:szCs w:val="24"/>
      <w:lang w:val="en-GB" w:eastAsia="es-ES"/>
    </w:rPr>
  </w:style>
  <w:style w:type="paragraph" w:styleId="Caption">
    <w:name w:val="caption"/>
    <w:basedOn w:val="Normal"/>
    <w:next w:val="Normal"/>
    <w:uiPriority w:val="35"/>
    <w:unhideWhenUsed/>
    <w:qFormat/>
    <w:rsid w:val="005A16A2"/>
    <w:pPr>
      <w:spacing w:before="0" w:after="200"/>
    </w:pPr>
    <w:rPr>
      <w:rFonts w:eastAsiaTheme="minorHAnsi" w:cstheme="minorBidi"/>
      <w:b/>
      <w:color w:val="579305" w:themeColor="accent1"/>
      <w:sz w:val="18"/>
      <w:szCs w:val="18"/>
    </w:rPr>
  </w:style>
  <w:style w:type="character" w:styleId="Emphasis">
    <w:name w:val="Emphasis"/>
    <w:qFormat/>
    <w:rsid w:val="005A16A2"/>
    <w:rPr>
      <w:b/>
      <w:i w:val="0"/>
      <w:iCs/>
    </w:rPr>
  </w:style>
  <w:style w:type="table" w:styleId="TableGrid">
    <w:name w:val="Table Grid"/>
    <w:basedOn w:val="TableNormal"/>
    <w:uiPriority w:val="59"/>
    <w:rsid w:val="005A16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16A2"/>
    <w:rPr>
      <w:rFonts w:ascii="Tahoma" w:hAnsi="Tahoma" w:cs="Traditional Arabic"/>
      <w:b w:val="0"/>
      <w:i w:val="0"/>
      <w:noProof/>
      <w:color w:val="004386"/>
      <w:sz w:val="24"/>
      <w:szCs w:val="24"/>
      <w:u w:val="single"/>
      <w:lang w:val="en-GB"/>
    </w:rPr>
  </w:style>
  <w:style w:type="paragraph" w:styleId="BalloonText">
    <w:name w:val="Balloon Text"/>
    <w:basedOn w:val="Normal"/>
    <w:link w:val="BalloonTextChar"/>
    <w:uiPriority w:val="99"/>
    <w:semiHidden/>
    <w:unhideWhenUsed/>
    <w:rsid w:val="005A16A2"/>
    <w:pPr>
      <w:spacing w:before="0"/>
    </w:pPr>
    <w:rPr>
      <w:rFonts w:cs="Tahoma"/>
      <w:sz w:val="16"/>
      <w:szCs w:val="16"/>
    </w:rPr>
  </w:style>
  <w:style w:type="character" w:customStyle="1" w:styleId="BalloonTextChar">
    <w:name w:val="Balloon Text Char"/>
    <w:basedOn w:val="DefaultParagraphFont"/>
    <w:link w:val="BalloonText"/>
    <w:uiPriority w:val="99"/>
    <w:semiHidden/>
    <w:rsid w:val="005A16A2"/>
    <w:rPr>
      <w:rFonts w:ascii="Traditional Arabic" w:hAnsi="Traditional Arabic" w:cs="Tahoma"/>
      <w:noProof/>
      <w:sz w:val="16"/>
      <w:szCs w:val="16"/>
      <w:lang w:val="en-GB" w:eastAsia="es-ES"/>
    </w:rPr>
  </w:style>
  <w:style w:type="paragraph" w:customStyle="1" w:styleId="table">
    <w:name w:val="table"/>
    <w:aliases w:val="t"/>
    <w:basedOn w:val="Normal"/>
    <w:qFormat/>
    <w:rsid w:val="005A16A2"/>
    <w:pPr>
      <w:spacing w:before="40" w:after="40"/>
    </w:pPr>
  </w:style>
  <w:style w:type="paragraph" w:customStyle="1" w:styleId="tableheading">
    <w:name w:val="table heading"/>
    <w:aliases w:val="th"/>
    <w:basedOn w:val="table"/>
    <w:qFormat/>
    <w:rsid w:val="005A16A2"/>
    <w:pPr>
      <w:keepNext/>
    </w:pPr>
    <w:rPr>
      <w:b/>
      <w:bCs/>
      <w:color w:val="004386" w:themeColor="text2"/>
    </w:rPr>
  </w:style>
  <w:style w:type="paragraph" w:customStyle="1" w:styleId="bullet">
    <w:name w:val="bullet"/>
    <w:aliases w:val="b"/>
    <w:basedOn w:val="Normal"/>
    <w:qFormat/>
    <w:rsid w:val="0078233F"/>
    <w:pPr>
      <w:numPr>
        <w:numId w:val="37"/>
      </w:numPr>
      <w:ind w:left="284" w:hanging="284"/>
    </w:pPr>
  </w:style>
  <w:style w:type="paragraph" w:customStyle="1" w:styleId="tablebullet">
    <w:name w:val="table bullet"/>
    <w:basedOn w:val="table"/>
    <w:qFormat/>
    <w:rsid w:val="00320FF9"/>
    <w:pPr>
      <w:numPr>
        <w:numId w:val="38"/>
      </w:numPr>
      <w:ind w:left="284" w:hanging="284"/>
    </w:pPr>
  </w:style>
  <w:style w:type="paragraph" w:styleId="Header">
    <w:name w:val="header"/>
    <w:basedOn w:val="Normal"/>
    <w:link w:val="HeaderChar"/>
    <w:rsid w:val="00F64AB0"/>
    <w:pPr>
      <w:pBdr>
        <w:bottom w:val="single" w:sz="4" w:space="4" w:color="004386" w:themeColor="text2"/>
      </w:pBdr>
      <w:tabs>
        <w:tab w:val="center" w:pos="4320"/>
        <w:tab w:val="right" w:pos="8640"/>
      </w:tabs>
      <w:spacing w:before="0"/>
    </w:pPr>
    <w:rPr>
      <w:b/>
      <w:bCs/>
      <w:color w:val="579305" w:themeColor="accent1"/>
      <w:sz w:val="28"/>
      <w:szCs w:val="28"/>
      <w:lang w:bidi="ar-TN"/>
    </w:rPr>
  </w:style>
  <w:style w:type="character" w:customStyle="1" w:styleId="HeaderChar">
    <w:name w:val="Header Char"/>
    <w:basedOn w:val="DefaultParagraphFont"/>
    <w:link w:val="Header"/>
    <w:rsid w:val="00F64AB0"/>
    <w:rPr>
      <w:b/>
      <w:bCs/>
      <w:color w:val="579305" w:themeColor="accent1"/>
      <w:sz w:val="28"/>
      <w:szCs w:val="28"/>
      <w:lang w:bidi="ar-TN"/>
    </w:rPr>
  </w:style>
  <w:style w:type="paragraph" w:styleId="Footer">
    <w:name w:val="footer"/>
    <w:basedOn w:val="Normal"/>
    <w:link w:val="FooterChar"/>
    <w:rsid w:val="005A16A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F64AB0"/>
    <w:rPr>
      <w:color w:val="004386" w:themeColor="text2"/>
    </w:rPr>
  </w:style>
  <w:style w:type="character" w:styleId="PageNumber">
    <w:name w:val="page number"/>
    <w:basedOn w:val="DefaultParagraphFont"/>
    <w:uiPriority w:val="99"/>
    <w:semiHidden/>
    <w:unhideWhenUsed/>
    <w:rsid w:val="005A16A2"/>
    <w:rPr>
      <w:rFonts w:asciiTheme="minorHAnsi" w:hAnsiTheme="minorHAnsi"/>
    </w:rPr>
  </w:style>
  <w:style w:type="character" w:styleId="FollowedHyperlink">
    <w:name w:val="FollowedHyperlink"/>
    <w:basedOn w:val="DefaultParagraphFont"/>
    <w:uiPriority w:val="99"/>
    <w:semiHidden/>
    <w:unhideWhenUsed/>
    <w:rsid w:val="005A16A2"/>
    <w:rPr>
      <w:color w:val="004386"/>
      <w:u w:val="single"/>
    </w:rPr>
  </w:style>
  <w:style w:type="paragraph" w:customStyle="1" w:styleId="subbullet">
    <w:name w:val="sub bullet"/>
    <w:aliases w:val="s"/>
    <w:basedOn w:val="Normal"/>
    <w:qFormat/>
    <w:rsid w:val="00DE202F"/>
    <w:pPr>
      <w:numPr>
        <w:numId w:val="19"/>
      </w:numPr>
      <w:ind w:left="568"/>
    </w:pPr>
  </w:style>
  <w:style w:type="paragraph" w:customStyle="1" w:styleId="tablesubbullet">
    <w:name w:val="table sub bullet"/>
    <w:basedOn w:val="tablebullet"/>
    <w:qFormat/>
    <w:rsid w:val="000066B6"/>
    <w:pPr>
      <w:keepLines/>
      <w:numPr>
        <w:numId w:val="21"/>
      </w:numPr>
      <w:tabs>
        <w:tab w:val="left" w:pos="284"/>
      </w:tabs>
      <w:ind w:left="454" w:hanging="227"/>
    </w:pPr>
  </w:style>
  <w:style w:type="character" w:styleId="CommentReference">
    <w:name w:val="annotation reference"/>
    <w:basedOn w:val="DefaultParagraphFont"/>
    <w:uiPriority w:val="99"/>
    <w:semiHidden/>
    <w:unhideWhenUsed/>
    <w:rsid w:val="005A16A2"/>
    <w:rPr>
      <w:sz w:val="16"/>
      <w:szCs w:val="16"/>
    </w:rPr>
  </w:style>
  <w:style w:type="paragraph" w:styleId="CommentText">
    <w:name w:val="annotation text"/>
    <w:basedOn w:val="Normal"/>
    <w:link w:val="CommentTextChar"/>
    <w:uiPriority w:val="99"/>
    <w:semiHidden/>
    <w:unhideWhenUsed/>
    <w:rsid w:val="005A16A2"/>
    <w:rPr>
      <w:szCs w:val="20"/>
    </w:rPr>
  </w:style>
  <w:style w:type="character" w:customStyle="1" w:styleId="CommentTextChar">
    <w:name w:val="Comment Text Char"/>
    <w:basedOn w:val="DefaultParagraphFont"/>
    <w:link w:val="CommentText"/>
    <w:uiPriority w:val="99"/>
    <w:semiHidden/>
    <w:rsid w:val="005A16A2"/>
    <w:rPr>
      <w:rFonts w:ascii="Traditional Arabic" w:hAnsi="Traditional Arabic" w:cs="Traditional Arabic"/>
      <w:noProof/>
      <w:sz w:val="24"/>
      <w:lang w:val="en-GB" w:eastAsia="es-ES"/>
    </w:rPr>
  </w:style>
  <w:style w:type="paragraph" w:styleId="CommentSubject">
    <w:name w:val="annotation subject"/>
    <w:basedOn w:val="CommentText"/>
    <w:next w:val="CommentText"/>
    <w:link w:val="CommentSubjectChar"/>
    <w:uiPriority w:val="99"/>
    <w:semiHidden/>
    <w:unhideWhenUsed/>
    <w:rsid w:val="005A16A2"/>
    <w:rPr>
      <w:b/>
    </w:rPr>
  </w:style>
  <w:style w:type="character" w:customStyle="1" w:styleId="CommentSubjectChar">
    <w:name w:val="Comment Subject Char"/>
    <w:basedOn w:val="CommentTextChar"/>
    <w:link w:val="CommentSubject"/>
    <w:uiPriority w:val="99"/>
    <w:semiHidden/>
    <w:rsid w:val="005A16A2"/>
    <w:rPr>
      <w:rFonts w:ascii="Traditional Arabic" w:hAnsi="Traditional Arabic" w:cs="Traditional Arabic"/>
      <w:b/>
      <w:noProof/>
      <w:sz w:val="24"/>
      <w:lang w:val="en-GB" w:eastAsia="es-ES"/>
    </w:rPr>
  </w:style>
  <w:style w:type="paragraph" w:customStyle="1" w:styleId="Moduledescription">
    <w:name w:val="Module description"/>
    <w:basedOn w:val="Normal"/>
    <w:qFormat/>
    <w:rsid w:val="005A16A2"/>
    <w:rPr>
      <w:b/>
      <w:bCs/>
      <w:color w:val="57930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eher Arabic ppt theme" id="{617AB290-B804-4E1F-B763-1097EAEAE8DA}" vid="{472AD3FC-B138-408D-9D30-D7915BD9A346}"/>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832</Words>
  <Characters>4582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2015-01-05T09:17:00Z</cp:lastPrinted>
  <dcterms:created xsi:type="dcterms:W3CDTF">2015-04-09T16:45:00Z</dcterms:created>
  <dcterms:modified xsi:type="dcterms:W3CDTF">2015-05-28T08:27:00Z</dcterms:modified>
</cp:coreProperties>
</file>